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8C" w:rsidRPr="008B4C8C" w:rsidRDefault="000B168C" w:rsidP="00BF4CB9">
      <w:pPr>
        <w:widowControl w:val="0"/>
        <w:suppressAutoHyphens/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ahoma"/>
          <w:b/>
          <w:sz w:val="18"/>
          <w:szCs w:val="18"/>
          <w:lang w:eastAsia="ja-JP" w:bidi="fa-IR"/>
        </w:rPr>
      </w:pPr>
      <w:r w:rsidRPr="008B4C8C">
        <w:rPr>
          <w:rFonts w:ascii="Times New Roman" w:eastAsia="Calibri" w:hAnsi="Times New Roman" w:cs="Tahoma"/>
          <w:b/>
          <w:sz w:val="18"/>
          <w:szCs w:val="18"/>
          <w:lang w:val="de-DE" w:eastAsia="ja-JP" w:bidi="fa-IR"/>
        </w:rPr>
        <w:t xml:space="preserve">ОТЧЁТ </w:t>
      </w:r>
      <w:r w:rsidRPr="008B4C8C">
        <w:rPr>
          <w:rFonts w:ascii="Times New Roman" w:eastAsia="Calibri" w:hAnsi="Times New Roman" w:cs="Tahoma"/>
          <w:b/>
          <w:sz w:val="18"/>
          <w:szCs w:val="18"/>
          <w:lang w:eastAsia="ja-JP" w:bidi="fa-IR"/>
        </w:rPr>
        <w:t xml:space="preserve">ГЛАВЫ ГОРОДСКОГО ОКРУГА ВИЧУГА </w:t>
      </w:r>
    </w:p>
    <w:p w:rsidR="000B168C" w:rsidRPr="008B4C8C" w:rsidRDefault="000B168C" w:rsidP="000B168C">
      <w:pPr>
        <w:widowControl w:val="0"/>
        <w:suppressAutoHyphens/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ahoma"/>
          <w:b/>
          <w:sz w:val="18"/>
          <w:szCs w:val="18"/>
          <w:lang w:eastAsia="ja-JP" w:bidi="fa-IR"/>
        </w:rPr>
      </w:pPr>
      <w:r w:rsidRPr="008B4C8C">
        <w:rPr>
          <w:rFonts w:ascii="Times New Roman" w:eastAsia="Calibri" w:hAnsi="Times New Roman" w:cs="Tahoma"/>
          <w:b/>
          <w:sz w:val="18"/>
          <w:szCs w:val="18"/>
          <w:lang w:val="de-DE" w:eastAsia="ja-JP" w:bidi="fa-IR"/>
        </w:rPr>
        <w:t xml:space="preserve">О РЕЗУЛЬТАТАХ </w:t>
      </w:r>
      <w:r w:rsidRPr="008B4C8C">
        <w:rPr>
          <w:rFonts w:ascii="Times New Roman" w:eastAsia="Calibri" w:hAnsi="Times New Roman" w:cs="Tahoma"/>
          <w:b/>
          <w:sz w:val="18"/>
          <w:szCs w:val="18"/>
          <w:lang w:eastAsia="ja-JP" w:bidi="fa-IR"/>
        </w:rPr>
        <w:t xml:space="preserve">ЕГО </w:t>
      </w:r>
      <w:r w:rsidRPr="008B4C8C">
        <w:rPr>
          <w:rFonts w:ascii="Times New Roman" w:eastAsia="Calibri" w:hAnsi="Times New Roman" w:cs="Tahoma"/>
          <w:b/>
          <w:sz w:val="18"/>
          <w:szCs w:val="18"/>
          <w:lang w:val="de-DE" w:eastAsia="ja-JP" w:bidi="fa-IR"/>
        </w:rPr>
        <w:t>ДЕЯТЕЛЬНОСТИ</w:t>
      </w:r>
      <w:r w:rsidRPr="008B4C8C">
        <w:rPr>
          <w:rFonts w:ascii="Times New Roman" w:eastAsia="Calibri" w:hAnsi="Times New Roman" w:cs="Tahoma"/>
          <w:b/>
          <w:sz w:val="18"/>
          <w:szCs w:val="18"/>
          <w:lang w:eastAsia="ja-JP" w:bidi="fa-IR"/>
        </w:rPr>
        <w:t xml:space="preserve"> </w:t>
      </w:r>
    </w:p>
    <w:p w:rsidR="00BF4CB9" w:rsidRPr="008B4C8C" w:rsidRDefault="000B168C" w:rsidP="00BF4CB9">
      <w:pPr>
        <w:widowControl w:val="0"/>
        <w:suppressAutoHyphens/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ahoma"/>
          <w:b/>
          <w:sz w:val="18"/>
          <w:szCs w:val="18"/>
          <w:lang w:eastAsia="ja-JP" w:bidi="fa-IR"/>
        </w:rPr>
      </w:pPr>
      <w:r w:rsidRPr="008B4C8C">
        <w:rPr>
          <w:rFonts w:ascii="Times New Roman" w:eastAsia="Calibri" w:hAnsi="Times New Roman" w:cs="Tahoma"/>
          <w:b/>
          <w:sz w:val="18"/>
          <w:szCs w:val="18"/>
          <w:lang w:eastAsia="ja-JP" w:bidi="fa-IR"/>
        </w:rPr>
        <w:t xml:space="preserve">И ДЕЯТЕЛЬНОСТИ </w:t>
      </w:r>
      <w:r w:rsidRPr="008B4C8C">
        <w:rPr>
          <w:rFonts w:ascii="Times New Roman" w:eastAsia="Calibri" w:hAnsi="Times New Roman" w:cs="Tahoma"/>
          <w:b/>
          <w:sz w:val="18"/>
          <w:szCs w:val="18"/>
          <w:lang w:val="de-DE" w:eastAsia="ja-JP" w:bidi="fa-IR"/>
        </w:rPr>
        <w:t xml:space="preserve">АДМИНИСТРАЦИИ </w:t>
      </w:r>
    </w:p>
    <w:p w:rsidR="000B168C" w:rsidRPr="008B4C8C" w:rsidRDefault="000B168C" w:rsidP="00BF4CB9">
      <w:pPr>
        <w:widowControl w:val="0"/>
        <w:suppressAutoHyphens/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ahoma"/>
          <w:b/>
          <w:sz w:val="18"/>
          <w:szCs w:val="18"/>
          <w:lang w:eastAsia="ja-JP" w:bidi="fa-IR"/>
        </w:rPr>
      </w:pPr>
      <w:r w:rsidRPr="008B4C8C">
        <w:rPr>
          <w:rFonts w:ascii="Times New Roman" w:eastAsia="Calibri" w:hAnsi="Times New Roman" w:cs="Tahoma"/>
          <w:b/>
          <w:sz w:val="18"/>
          <w:szCs w:val="18"/>
          <w:lang w:val="de-DE" w:eastAsia="ja-JP" w:bidi="fa-IR"/>
        </w:rPr>
        <w:t>ГОРОДСКОГО ОКРУГА ВИЧУГА ЗА 201</w:t>
      </w:r>
      <w:r w:rsidRPr="008B4C8C">
        <w:rPr>
          <w:rFonts w:ascii="Times New Roman" w:eastAsia="Calibri" w:hAnsi="Times New Roman" w:cs="Tahoma"/>
          <w:b/>
          <w:sz w:val="18"/>
          <w:szCs w:val="18"/>
          <w:lang w:eastAsia="ja-JP" w:bidi="fa-IR"/>
        </w:rPr>
        <w:t>8</w:t>
      </w:r>
      <w:r w:rsidRPr="008B4C8C">
        <w:rPr>
          <w:rFonts w:ascii="Times New Roman" w:eastAsia="Calibri" w:hAnsi="Times New Roman" w:cs="Tahoma"/>
          <w:b/>
          <w:sz w:val="18"/>
          <w:szCs w:val="18"/>
          <w:lang w:val="de-DE" w:eastAsia="ja-JP" w:bidi="fa-IR"/>
        </w:rPr>
        <w:t xml:space="preserve"> ГОД</w:t>
      </w:r>
    </w:p>
    <w:p w:rsidR="00BF4CB9" w:rsidRPr="008B4C8C" w:rsidRDefault="00BF4CB9" w:rsidP="000B168C">
      <w:pPr>
        <w:widowControl w:val="0"/>
        <w:suppressAutoHyphens/>
        <w:spacing w:after="0" w:line="240" w:lineRule="auto"/>
        <w:ind w:left="-561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18"/>
          <w:szCs w:val="18"/>
          <w:lang w:eastAsia="ja-JP" w:bidi="fa-IR"/>
        </w:rPr>
      </w:pPr>
    </w:p>
    <w:p w:rsidR="000B168C" w:rsidRPr="008B4C8C" w:rsidRDefault="000B168C" w:rsidP="00BF4CB9">
      <w:pPr>
        <w:widowControl w:val="0"/>
        <w:suppressAutoHyphens/>
        <w:spacing w:after="0"/>
        <w:ind w:left="-561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18"/>
          <w:szCs w:val="18"/>
          <w:lang w:eastAsia="ja-JP" w:bidi="fa-IR"/>
        </w:rPr>
      </w:pPr>
      <w:r w:rsidRPr="008B4C8C">
        <w:rPr>
          <w:rFonts w:ascii="Times New Roman" w:eastAsia="Calibri" w:hAnsi="Times New Roman" w:cs="Times New Roman"/>
          <w:b/>
          <w:sz w:val="18"/>
          <w:szCs w:val="18"/>
          <w:lang w:eastAsia="ja-JP" w:bidi="fa-IR"/>
        </w:rPr>
        <w:t xml:space="preserve">Уважаемая Елена Вячеславовна, </w:t>
      </w:r>
    </w:p>
    <w:p w:rsidR="000B168C" w:rsidRPr="008B4C8C" w:rsidRDefault="000B168C" w:rsidP="00BF4CB9">
      <w:pPr>
        <w:widowControl w:val="0"/>
        <w:suppressAutoHyphens/>
        <w:spacing w:after="0"/>
        <w:ind w:left="-561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18"/>
          <w:szCs w:val="18"/>
          <w:lang w:eastAsia="ja-JP" w:bidi="fa-IR"/>
        </w:rPr>
      </w:pPr>
      <w:r w:rsidRPr="008B4C8C">
        <w:rPr>
          <w:rFonts w:ascii="Times New Roman" w:eastAsia="Calibri" w:hAnsi="Times New Roman" w:cs="Times New Roman"/>
          <w:b/>
          <w:sz w:val="18"/>
          <w:szCs w:val="18"/>
          <w:lang w:eastAsia="ja-JP" w:bidi="fa-IR"/>
        </w:rPr>
        <w:t>уважаемые депутаты, уважаемые приглашенные!</w:t>
      </w:r>
    </w:p>
    <w:p w:rsidR="000B168C" w:rsidRPr="008B4C8C" w:rsidRDefault="000B168C" w:rsidP="00BF4CB9">
      <w:pPr>
        <w:widowControl w:val="0"/>
        <w:suppressAutoHyphens/>
        <w:spacing w:after="0"/>
        <w:ind w:left="-561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18"/>
          <w:szCs w:val="18"/>
          <w:lang w:eastAsia="ja-JP" w:bidi="fa-IR"/>
        </w:rPr>
      </w:pPr>
    </w:p>
    <w:p w:rsidR="000B168C" w:rsidRPr="008B4C8C" w:rsidRDefault="000B168C" w:rsidP="00BF4CB9">
      <w:pPr>
        <w:widowControl w:val="0"/>
        <w:suppressAutoHyphens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eastAsia="ja-JP" w:bidi="fa-IR"/>
        </w:rPr>
      </w:pPr>
      <w:r w:rsidRPr="008B4C8C">
        <w:rPr>
          <w:rFonts w:ascii="Times New Roman" w:eastAsia="Calibri" w:hAnsi="Times New Roman" w:cs="Times New Roman"/>
          <w:b/>
          <w:sz w:val="18"/>
          <w:szCs w:val="18"/>
          <w:lang w:eastAsia="ja-JP" w:bidi="fa-IR"/>
        </w:rPr>
        <w:tab/>
      </w: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>Разрешите представить Вашему вниманию отчет о результатах деятельности администрации города за 2018 год. В своем докладе я коснусь не только работы органа местного самоуправления, но и отражу основные стороны жизни нашего города.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Свой доклад я начну с данных о демографической ситуации. По предварительным данным территориального органа Федеральной службы государственной статистики по Ивановской области по состоянию на 1 января 2019г. население г</w:t>
      </w:r>
      <w:r w:rsidR="00BD2643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орода составило  33 648 человек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(на 01.01.2018г. – 34 408 чел.)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По данным</w:t>
      </w:r>
      <w:r w:rsidRPr="008B4C8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филиала комитета Ивановской области ЗАГС по го</w:t>
      </w:r>
      <w:r w:rsidR="00394932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роду Вичуге и Вичугскому району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у нас в городе в 2018 году родились  333 ребенка, умерл</w:t>
      </w:r>
      <w:r w:rsidR="00BD2643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679 человек</w:t>
      </w:r>
      <w:proofErr w:type="gram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8B4C8C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(</w:t>
      </w:r>
      <w:proofErr w:type="gramStart"/>
      <w:r w:rsidRPr="008B4C8C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в</w:t>
      </w:r>
      <w:proofErr w:type="gramEnd"/>
      <w:r w:rsidRPr="008B4C8C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2017: 348 </w:t>
      </w:r>
      <w:r w:rsidR="00BD2643" w:rsidRPr="008B4C8C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и 592 чел </w:t>
      </w:r>
      <w:r w:rsidR="009B35C9" w:rsidRPr="008B4C8C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соответственно</w:t>
      </w:r>
      <w:r w:rsidRPr="008B4C8C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)</w:t>
      </w:r>
    </w:p>
    <w:p w:rsidR="00BD2643" w:rsidRPr="008B4C8C" w:rsidRDefault="00BD2643" w:rsidP="00BD2643">
      <w:pPr>
        <w:suppressAutoHyphens/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18"/>
          <w:szCs w:val="18"/>
          <w:lang w:eastAsia="en-US"/>
        </w:rPr>
      </w:pPr>
    </w:p>
    <w:p w:rsidR="000B168C" w:rsidRPr="008B4C8C" w:rsidRDefault="000B168C" w:rsidP="00BD2643">
      <w:pPr>
        <w:suppressAutoHyphens/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color w:val="00000A"/>
          <w:sz w:val="18"/>
          <w:szCs w:val="18"/>
          <w:lang w:eastAsia="en-US"/>
        </w:rPr>
        <w:t xml:space="preserve">Основным фундаментом, на котором строится работа органов местного самоуправления в течение года, является </w:t>
      </w:r>
      <w:r w:rsidRPr="008B4C8C">
        <w:rPr>
          <w:rFonts w:ascii="Times New Roman" w:eastAsia="Calibri" w:hAnsi="Times New Roman" w:cs="Times New Roman"/>
          <w:b/>
          <w:color w:val="00000A"/>
          <w:sz w:val="18"/>
          <w:szCs w:val="18"/>
          <w:lang w:eastAsia="en-US"/>
        </w:rPr>
        <w:t>бюджет</w:t>
      </w:r>
      <w:r w:rsidRPr="008B4C8C">
        <w:rPr>
          <w:rFonts w:ascii="Times New Roman" w:eastAsia="Calibri" w:hAnsi="Times New Roman" w:cs="Times New Roman"/>
          <w:color w:val="00000A"/>
          <w:sz w:val="18"/>
          <w:szCs w:val="18"/>
          <w:lang w:eastAsia="en-US"/>
        </w:rPr>
        <w:t xml:space="preserve">. 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Общие параметры бюджета городского округа Вичуга за 2018 год сложились следующим образом: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Доходы – в сумме 499,5 млн. руб.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Расходы – в сумме 514,1 млн. руб.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Дефицит бюджета составил 14,6 млн. руб.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Параметры бюджета в течение года корректировались 9 раз.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Поступления основных доходных источников бюджета: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- безвозмездные поступления 377,1 млн. руб. или 74,5 %;</w:t>
      </w:r>
    </w:p>
    <w:p w:rsidR="00BD2643" w:rsidRPr="008B4C8C" w:rsidRDefault="000B168C" w:rsidP="00BF4CB9">
      <w:pPr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- налоговые и неналоговые доходы 127,2 млн. руб. или 25,5 %, в т. ч.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- налог  на доходы физических лиц 51,5 млн. руб. или 10,3%;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- налоги на совокупный доход (ЕНВД, патентная система) 12,4 млн. руб. или 2,5%;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- имущественные налоги 16,1 млн. руб. или 3,2 %;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- доходы от сдачи в аренду земельных участков и имущества 11,4 млн. руб. или 2,3 %;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- доходы от продажи  земельных участков и  имущества  8,5 млн. руб. или 1,7 %;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- прочие налоговые и неналоговые доходы 27,3 млн. руб. или 5,5 %.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Необходимо констатировать, что доходная часть бюджета в основном формировалась за счет поступлений из вышестоящих бюджетов.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Из динамики поступлений следует отметить, что собственные поступления по сравнению с 2017 годом увеличились на 11,7 </w:t>
      </w:r>
      <w:proofErr w:type="spellStart"/>
      <w:r w:rsidRPr="008B4C8C">
        <w:rPr>
          <w:rFonts w:ascii="Times New Roman" w:eastAsia="Times New Roman" w:hAnsi="Times New Roman" w:cs="Times New Roman"/>
          <w:sz w:val="18"/>
          <w:szCs w:val="18"/>
        </w:rPr>
        <w:t>млн</w:t>
      </w:r>
      <w:proofErr w:type="gramStart"/>
      <w:r w:rsidRPr="008B4C8C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8B4C8C">
        <w:rPr>
          <w:rFonts w:ascii="Times New Roman" w:eastAsia="Times New Roman" w:hAnsi="Times New Roman" w:cs="Times New Roman"/>
          <w:sz w:val="18"/>
          <w:szCs w:val="18"/>
        </w:rPr>
        <w:t>уб</w:t>
      </w:r>
      <w:proofErr w:type="spellEnd"/>
      <w:r w:rsidRPr="008B4C8C">
        <w:rPr>
          <w:rFonts w:ascii="Times New Roman" w:eastAsia="Times New Roman" w:hAnsi="Times New Roman" w:cs="Times New Roman"/>
          <w:sz w:val="18"/>
          <w:szCs w:val="18"/>
        </w:rPr>
        <w:t>. (10,1 %).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Выполнение по доходам в целом составило 98,6% или 499,5 млн. руб., по налоговым и неналоговым доходам выполнение 94,8% или 127,2 млн. руб. (план 134,2 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lastRenderedPageBreak/>
        <w:t>млн. руб.), по безвозмездным поступлениям выполнение составило 100% или 372,3 млн. руб.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Основной причиной невыполнения плана по налоговым доходам является задолженность предприятий. Общая сумма недоимки по налогам на 1 января 2019 составила 5,1 млн. руб., по сравнению с недоимкой на начало 2018 года произошло снижение на 700 тыс. руб. Кроме того</w:t>
      </w:r>
      <w:r w:rsidR="00394932" w:rsidRPr="008B4C8C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имеется задолженность предприятий - банкротов, она составляет более 9 млн. руб.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В целях пополнения доходной части бюджета и сокращения </w:t>
      </w:r>
      <w:proofErr w:type="gramStart"/>
      <w:r w:rsidRPr="008B4C8C">
        <w:rPr>
          <w:rFonts w:ascii="Times New Roman" w:eastAsia="Times New Roman" w:hAnsi="Times New Roman" w:cs="Times New Roman"/>
          <w:sz w:val="18"/>
          <w:szCs w:val="18"/>
        </w:rPr>
        <w:t>недоимки</w:t>
      </w:r>
      <w:proofErr w:type="gramEnd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налоговых и неналоговых поступлений в бюджет городского округа Вичуга в 2018 году возобновилась работа межведомственной комиссии по мобилизации налоговых и неналоговых доходов, страховых взносов в государственные внебюджетные фонды, проведено два заседания. Результатом данной работы стало погашение задолженности на 500 тыс. рублей.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Работа Комиссии организовывалась посредством личного приглашения должников на проводимые заседания. Многие должники погашали недоимку до проведения заседаний.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Расходная часть бюджета за 2018 год исполнена не в полном объеме. Сказалось недовыполнение доходной части, а также обременение бюджета кредиторской задолженностью за прошлые годы, более 7,5 млн. руб. При плане 525,1 млн. руб. исполнение составило 514,1 млн. руб. или 97,9% к годовому плану. По сравнению с 2017 годом фактические расходы за 2018 год увеличились на 34,8 млн. руб., а исполнение в 2017 году составляло 75%.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Основная доля расходов, как и в предыдущий год, пришлась на отрасли социальной сферы, на них было направлено 379,1 млн. руб. или 73,7 % от общего объема расходов.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Образование является самым </w:t>
      </w:r>
      <w:proofErr w:type="spellStart"/>
      <w:r w:rsidRPr="008B4C8C">
        <w:rPr>
          <w:rFonts w:ascii="Times New Roman" w:eastAsia="Times New Roman" w:hAnsi="Times New Roman" w:cs="Times New Roman"/>
          <w:sz w:val="18"/>
          <w:szCs w:val="18"/>
        </w:rPr>
        <w:t>финансовоемким</w:t>
      </w:r>
      <w:proofErr w:type="spellEnd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, с точки зрения расходования средств местного бюджета, направлением. </w:t>
      </w:r>
      <w:proofErr w:type="gramStart"/>
      <w:r w:rsidRPr="008B4C8C">
        <w:rPr>
          <w:rFonts w:ascii="Times New Roman" w:eastAsia="Times New Roman" w:hAnsi="Times New Roman" w:cs="Times New Roman"/>
          <w:sz w:val="18"/>
          <w:szCs w:val="18"/>
        </w:rPr>
        <w:t>Расходы по этому разделу составили 315,4 млн. руб. при плане 321,3 млн. руб., исполнено 98,2%. В течение года на сферу образования дополнительно было предусмотрено 44,2 млн. руб., за счет бюджета города 5,7 млн. руб. Данные средства были направлены на ремонтные работы, подготовку лагеря к летнему отдыху детей, целевую подготовку педагогов, приведение образовательных учреждений в соответствие с требованиями пожарной безопасности, проведение</w:t>
      </w:r>
      <w:proofErr w:type="gramEnd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антитеррористических мероприятий и другие статьи расходов, необходимые для функционирования образовательных учреждений.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Расходы на культуру и кинематографию при плане 44,2 млн. руб. составили 43,8 млн. руб. – исполнение 99,0%.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Расходы на физическую культуру и спорт при плане 12,6 млн. руб. составили 12,3 млн. руб. – исполнение 97,5%.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По разделу социальная политика при плане 7,7 млн. руб. расходы составили 7,6 млн. руб. – исполнение 99,0%.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«Национальная экономика» 7,7% в общем объеме ассигнований. При плане 42,1 млн. руб. расходы составили 39,6 млн. руб., исполнение 94,2%, в том числе расходы на  ремонт и содержание дорог при плане 36,7 млн. руб. составили 35,0 млн. руб.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«Жилищно-коммунальное хозяйство» 7,1% в общем объеме ассигнований. При плане 37,9 млн. руб.  расходы составили 36,4 млн. руб., исполнение 95,8%.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  <w:r w:rsidR="00BD2643" w:rsidRPr="008B4C8C">
        <w:rPr>
          <w:rFonts w:ascii="Times New Roman" w:eastAsia="Times New Roman" w:hAnsi="Times New Roman" w:cs="Times New Roman"/>
          <w:sz w:val="18"/>
          <w:szCs w:val="18"/>
        </w:rPr>
        <w:tab/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«Прочие расходы» в бюджете города составляют 11,5 % от общего объема, При плане 59,3 млн. руб. расходы составили 59,0 </w:t>
      </w:r>
      <w:proofErr w:type="spellStart"/>
      <w:r w:rsidRPr="008B4C8C">
        <w:rPr>
          <w:rFonts w:ascii="Times New Roman" w:eastAsia="Times New Roman" w:hAnsi="Times New Roman" w:cs="Times New Roman"/>
          <w:sz w:val="18"/>
          <w:szCs w:val="18"/>
        </w:rPr>
        <w:t>млн</w:t>
      </w:r>
      <w:proofErr w:type="gramStart"/>
      <w:r w:rsidRPr="008B4C8C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8B4C8C">
        <w:rPr>
          <w:rFonts w:ascii="Times New Roman" w:eastAsia="Times New Roman" w:hAnsi="Times New Roman" w:cs="Times New Roman"/>
          <w:sz w:val="18"/>
          <w:szCs w:val="18"/>
        </w:rPr>
        <w:t>уб</w:t>
      </w:r>
      <w:proofErr w:type="spellEnd"/>
      <w:r w:rsidRPr="008B4C8C">
        <w:rPr>
          <w:rFonts w:ascii="Times New Roman" w:eastAsia="Times New Roman" w:hAnsi="Times New Roman" w:cs="Times New Roman"/>
          <w:sz w:val="18"/>
          <w:szCs w:val="18"/>
        </w:rPr>
        <w:t>., исполнение - 99,5%.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В рамках реализации майских указов Президента Российской Федерации  поэтапно повышалась средняя заработная плата отдельным категориям работников бюджетной сферы. Выделялись дополнительные средства на индексацию заработной платы на 4%, а также на доведение минимального </w:t>
      </w:r>
      <w:proofErr w:type="gramStart"/>
      <w:r w:rsidRPr="008B4C8C">
        <w:rPr>
          <w:rFonts w:ascii="Times New Roman" w:eastAsia="Times New Roman" w:hAnsi="Times New Roman" w:cs="Times New Roman"/>
          <w:sz w:val="18"/>
          <w:szCs w:val="18"/>
        </w:rPr>
        <w:t>размера оплаты труда работников муниципальных учреждений</w:t>
      </w:r>
      <w:proofErr w:type="gramEnd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до 11 163,00 руб.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Проводилась работа по выявлению резервов и перераспределению бюджетных ассигнований в пользу приоритетных направлений.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Расходные обязательства по оплате труда, коммунальных услуг, связи, социальных выплат исполнены в полном объеме.</w:t>
      </w:r>
      <w:r w:rsidR="00BD2643" w:rsidRPr="008B4C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>В течение 2018 года не допускалось ни одного случая задержки по выплате заработной платы.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Бюджет городского округа на 2018 год был сформирован в программной структуре расходов на основе 14 муниципальных программ.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Расходы на их реализацию в общем объеме расходов бюджета городского округа Вичуга за 2018 год составили 482 641,7 тыс. руб., или 93,9%; 31 484,1 тыс. руб. - расходы на непрограммные направления деятельности отдельных органов местного самоуправления городского округа Вичуга.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Несмотря на сложную финансовую обстановку и большой объем долговой нагрузки</w:t>
      </w:r>
      <w:r w:rsidR="00394932" w:rsidRPr="008B4C8C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городской округ Вичуга принимал участие в федеральных и областных программах на условиях софинансирования. За 2018 год в бюджет было привлечено дополнительно за счет средств вышестоящих бюджетов  44,9  млн. руб., при этом изыскана возможность софинансирования запланированных мероприятий за счет средств бюджета города в размере 3,9 млн. руб.</w:t>
      </w:r>
    </w:p>
    <w:p w:rsidR="000B168C" w:rsidRPr="008B4C8C" w:rsidRDefault="00115C2B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Хочется отметить, что </w:t>
      </w:r>
      <w:r w:rsidR="000B168C" w:rsidRPr="008B4C8C">
        <w:rPr>
          <w:rFonts w:ascii="Times New Roman" w:eastAsia="Times New Roman" w:hAnsi="Times New Roman" w:cs="Times New Roman"/>
          <w:sz w:val="18"/>
          <w:szCs w:val="18"/>
        </w:rPr>
        <w:t xml:space="preserve">расходы на социально-значимые мероприятия в 2018 году не были сокращены. 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В 2019 году предстоит большая и очень важная работа по обеспечению сбалансированности бюджета городского округа Вичуга, созданию предпосылок для снижения уровня дефицита бюджета и размера муниципального долга городского округа, безусловн</w:t>
      </w:r>
      <w:r w:rsidR="00394932" w:rsidRPr="008B4C8C">
        <w:rPr>
          <w:rFonts w:ascii="Times New Roman" w:eastAsia="Times New Roman" w:hAnsi="Times New Roman" w:cs="Times New Roman"/>
          <w:sz w:val="18"/>
          <w:szCs w:val="18"/>
        </w:rPr>
        <w:t>ому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исполнени</w:t>
      </w:r>
      <w:r w:rsidR="00394932" w:rsidRPr="008B4C8C">
        <w:rPr>
          <w:rFonts w:ascii="Times New Roman" w:eastAsia="Times New Roman" w:hAnsi="Times New Roman" w:cs="Times New Roman"/>
          <w:sz w:val="18"/>
          <w:szCs w:val="18"/>
        </w:rPr>
        <w:t>ю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расходных обязательств и реализаци</w:t>
      </w:r>
      <w:r w:rsidR="00394932" w:rsidRPr="008B4C8C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всех намеченных целей и задач муниципальных программ городского округа Вичуга.</w:t>
      </w:r>
    </w:p>
    <w:p w:rsidR="000B168C" w:rsidRPr="008B4C8C" w:rsidRDefault="000B168C" w:rsidP="00BD2643">
      <w:pPr>
        <w:widowControl w:val="0"/>
        <w:suppressAutoHyphens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Для этого необходимо сохранить налоговый потенциал на территории города, повысить эффективность взаимодействия с главными администраторами доходов по обеспечению полноты поступлений и взысканию недоимки, продолжать работу по оптимизации бюджетных расходов и их эффективному и рациональному использованию. А также продолжать участвовать в государственных программах.</w:t>
      </w:r>
    </w:p>
    <w:p w:rsidR="000B168C" w:rsidRPr="008B4C8C" w:rsidRDefault="000B168C" w:rsidP="00BD2643">
      <w:pPr>
        <w:widowControl w:val="0"/>
        <w:suppressAutoHyphens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b/>
          <w:sz w:val="18"/>
          <w:szCs w:val="18"/>
        </w:rPr>
        <w:t>Экономика, предпринимательство, трудоустройство и занятость.</w:t>
      </w:r>
    </w:p>
    <w:p w:rsidR="000B168C" w:rsidRPr="008B4C8C" w:rsidRDefault="000B168C" w:rsidP="00BF4CB9">
      <w:pPr>
        <w:widowControl w:val="0"/>
        <w:suppressAutoHyphens/>
        <w:spacing w:after="0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По информации территориального органа государственной статистики по Ивановской области в 2018 году крупными и средними предприятиями и организациями городского округа Вичуга отгружено товаров собственного производства, выполнено работ и услуг на сумму 1 млрд. 543 млн. 973 тыс. руб., что на 2,4% больше по сравнению с уточненными данными за 2017 год. (2017- 1млр.508 млн. 21 тыс. руб.) </w:t>
      </w:r>
      <w:proofErr w:type="gramEnd"/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Наибольший удельный вес в структуре промышленного производства имеет текстильное производство  - 43,2 %. В городе продолжают работать текстильные предприятия: </w:t>
      </w:r>
      <w:proofErr w:type="gramStart"/>
      <w:r w:rsidRPr="008B4C8C">
        <w:rPr>
          <w:rFonts w:ascii="Times New Roman" w:eastAsia="Times New Roman" w:hAnsi="Times New Roman" w:cs="Times New Roman"/>
          <w:sz w:val="18"/>
          <w:szCs w:val="18"/>
        </w:rPr>
        <w:t>ООО «ПК «Терра Нова» (бывшее ООО «НЕОТЕКС»), ООО «Ивановская текстильная компания» и ООО «</w:t>
      </w:r>
      <w:proofErr w:type="spellStart"/>
      <w:r w:rsidRPr="008B4C8C">
        <w:rPr>
          <w:rFonts w:ascii="Times New Roman" w:eastAsia="Times New Roman" w:hAnsi="Times New Roman" w:cs="Times New Roman"/>
          <w:sz w:val="18"/>
          <w:szCs w:val="18"/>
        </w:rPr>
        <w:t>Праймтекс</w:t>
      </w:r>
      <w:proofErr w:type="spellEnd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ОСП «Фабрика </w:t>
      </w:r>
      <w:proofErr w:type="spellStart"/>
      <w:r w:rsidRPr="008B4C8C">
        <w:rPr>
          <w:rFonts w:ascii="Times New Roman" w:eastAsia="Times New Roman" w:hAnsi="Times New Roman" w:cs="Times New Roman"/>
          <w:sz w:val="18"/>
          <w:szCs w:val="18"/>
        </w:rPr>
        <w:t>Шагова</w:t>
      </w:r>
      <w:proofErr w:type="spellEnd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», а также швейная фабрика «Бисер». </w:t>
      </w:r>
      <w:proofErr w:type="gramEnd"/>
    </w:p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Основными  предприятиями  в пищевой отрасли являются: </w:t>
      </w:r>
    </w:p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-  ООО «КЭМП» – производитель широкого спектра мясных полуфабрикатов; </w:t>
      </w:r>
    </w:p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- ИП Кутузов А. Ю.</w:t>
      </w:r>
      <w:r w:rsidR="00E81D89" w:rsidRPr="008B4C8C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 имеющий сеть продовольственных магазинов и занимающийся переработкой молочной продукции.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highlight w:val="red"/>
          <w:lang w:eastAsia="en-US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967"/>
        <w:gridCol w:w="967"/>
        <w:gridCol w:w="966"/>
        <w:gridCol w:w="1216"/>
      </w:tblGrid>
      <w:tr w:rsidR="000B168C" w:rsidRPr="008B4C8C" w:rsidTr="008B4C8C">
        <w:tc>
          <w:tcPr>
            <w:tcW w:w="2195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pct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5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658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29" w:type="pct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Рост з/</w:t>
            </w:r>
            <w:proofErr w:type="gramStart"/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г. по сравнению с з/п 2017 г.</w:t>
            </w:r>
          </w:p>
        </w:tc>
      </w:tr>
      <w:tr w:rsidR="000B168C" w:rsidRPr="008B4C8C" w:rsidTr="008B4C8C">
        <w:tc>
          <w:tcPr>
            <w:tcW w:w="2195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 заработная плата по предприятиям, не относящимся к субъектам малого предпринимательства</w:t>
            </w:r>
          </w:p>
        </w:tc>
        <w:tc>
          <w:tcPr>
            <w:tcW w:w="659" w:type="pct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16846,6</w:t>
            </w:r>
          </w:p>
        </w:tc>
        <w:tc>
          <w:tcPr>
            <w:tcW w:w="65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18600,3</w:t>
            </w:r>
          </w:p>
        </w:tc>
        <w:tc>
          <w:tcPr>
            <w:tcW w:w="658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21151,8</w:t>
            </w:r>
          </w:p>
        </w:tc>
        <w:tc>
          <w:tcPr>
            <w:tcW w:w="829" w:type="pct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13,7 %</w:t>
            </w:r>
          </w:p>
        </w:tc>
      </w:tr>
      <w:tr w:rsidR="000B168C" w:rsidRPr="008B4C8C" w:rsidTr="008B4C8C">
        <w:tc>
          <w:tcPr>
            <w:tcW w:w="2195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Средняя заработная плата по предприятиям, не относящимся к субъектам малого предпринимательства по Ивановской области </w:t>
            </w:r>
          </w:p>
        </w:tc>
        <w:tc>
          <w:tcPr>
            <w:tcW w:w="659" w:type="pct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23257,6</w:t>
            </w:r>
          </w:p>
        </w:tc>
        <w:tc>
          <w:tcPr>
            <w:tcW w:w="65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25374,1</w:t>
            </w:r>
          </w:p>
        </w:tc>
        <w:tc>
          <w:tcPr>
            <w:tcW w:w="658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28273,1</w:t>
            </w:r>
          </w:p>
        </w:tc>
        <w:tc>
          <w:tcPr>
            <w:tcW w:w="829" w:type="pct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11,4 %</w:t>
            </w:r>
          </w:p>
        </w:tc>
      </w:tr>
      <w:tr w:rsidR="000B168C" w:rsidRPr="008B4C8C" w:rsidTr="008B4C8C">
        <w:tc>
          <w:tcPr>
            <w:tcW w:w="2195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Отклонение, % </w:t>
            </w:r>
          </w:p>
        </w:tc>
        <w:tc>
          <w:tcPr>
            <w:tcW w:w="659" w:type="pct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65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658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829" w:type="pct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168C" w:rsidRPr="008B4C8C" w:rsidRDefault="000B168C" w:rsidP="00BF4CB9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D2643" w:rsidRPr="008B4C8C" w:rsidRDefault="00BD2643" w:rsidP="00BF4CB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0B168C" w:rsidRPr="008B4C8C" w:rsidRDefault="000B168C" w:rsidP="00BF4CB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Предпринимательство</w:t>
      </w:r>
    </w:p>
    <w:p w:rsidR="000B168C" w:rsidRPr="008B4C8C" w:rsidRDefault="000B168C" w:rsidP="00BF4CB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По данным территориального органа Федеральной службы государственной статистики по Ивановской области по состоянию на 01.01.2019 г. на территории городского округа Вичуга осуществляли хозяйственную деятельность 1002  хозяйствующих субъект</w:t>
      </w:r>
      <w:r w:rsidR="00E81D89" w:rsidRPr="008B4C8C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всех форм собственности. Из них более 91% относятся к категории  малого и среднего предпринимательства. </w:t>
      </w: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Всего на 1 января 2019 года на территории города осуществляли деятельность 656 индивидуальных предпринимател</w:t>
      </w:r>
      <w:r w:rsidR="00E81D89" w:rsidRPr="008B4C8C">
        <w:rPr>
          <w:rFonts w:ascii="Times New Roman" w:eastAsia="Times New Roman" w:hAnsi="Times New Roman" w:cs="Times New Roman"/>
          <w:sz w:val="18"/>
          <w:szCs w:val="18"/>
        </w:rPr>
        <w:t>ей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 и 256  организаци</w:t>
      </w:r>
      <w:r w:rsidR="00E81D89" w:rsidRPr="008B4C8C">
        <w:rPr>
          <w:rFonts w:ascii="Times New Roman" w:eastAsia="Times New Roman" w:hAnsi="Times New Roman" w:cs="Times New Roman"/>
          <w:sz w:val="18"/>
          <w:szCs w:val="18"/>
        </w:rPr>
        <w:t>й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>, подпадающих под указанную категорию. В течение 2018 года  количество индивидуальных предпринимателей увеличилось на 14 чел., а предприятий снизилось  на 16 ед. В результате проведенного анализа выяснилось, что сокращение предприятий произошло в связи с ликвидацией предприятий</w:t>
      </w:r>
      <w:r w:rsidR="00E81D89" w:rsidRPr="008B4C8C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ранее прекративших свою хозяйственную деятельность или перехода в другие территориальные налоговые органы. При этом переход предприятий в другие территориальные органы</w:t>
      </w:r>
      <w:r w:rsidR="00E81D89" w:rsidRPr="008B4C8C">
        <w:rPr>
          <w:rFonts w:ascii="Times New Roman" w:eastAsia="Times New Roman" w:hAnsi="Times New Roman" w:cs="Times New Roman"/>
          <w:sz w:val="18"/>
          <w:szCs w:val="18"/>
        </w:rPr>
        <w:t xml:space="preserve"> -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это </w:t>
      </w:r>
      <w:proofErr w:type="spellStart"/>
      <w:r w:rsidRPr="008B4C8C">
        <w:rPr>
          <w:rFonts w:ascii="Times New Roman" w:eastAsia="Times New Roman" w:hAnsi="Times New Roman" w:cs="Times New Roman"/>
          <w:sz w:val="18"/>
          <w:szCs w:val="18"/>
        </w:rPr>
        <w:t>недополучение</w:t>
      </w:r>
      <w:proofErr w:type="spellEnd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нашим бюджетом доходов. Перед отделом экономики стоит задача провести анализ этого негативного процесса и предложить  соответствующие меры.</w:t>
      </w:r>
    </w:p>
    <w:p w:rsidR="00BD2643" w:rsidRPr="008B4C8C" w:rsidRDefault="00BD2643" w:rsidP="00BF4CB9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B168C" w:rsidRPr="008B4C8C" w:rsidRDefault="000B168C" w:rsidP="00BF4CB9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b/>
          <w:sz w:val="18"/>
          <w:szCs w:val="18"/>
        </w:rPr>
        <w:t>Основные показатели развития малого и среднего бизнеса</w:t>
      </w:r>
    </w:p>
    <w:p w:rsidR="000B168C" w:rsidRPr="008B4C8C" w:rsidRDefault="000B168C" w:rsidP="00BF4CB9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b/>
          <w:sz w:val="18"/>
          <w:szCs w:val="18"/>
        </w:rPr>
        <w:t>в городском округе Вичуга</w:t>
      </w:r>
    </w:p>
    <w:p w:rsidR="000B168C" w:rsidRPr="008B4C8C" w:rsidRDefault="000B168C" w:rsidP="00BF4CB9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1078"/>
        <w:gridCol w:w="1078"/>
        <w:gridCol w:w="1292"/>
      </w:tblGrid>
      <w:tr w:rsidR="000B168C" w:rsidRPr="008B4C8C" w:rsidTr="008B4C8C">
        <w:tc>
          <w:tcPr>
            <w:tcW w:w="2604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4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9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</w:tc>
      </w:tr>
      <w:tr w:rsidR="000B168C" w:rsidRPr="008B4C8C" w:rsidTr="008B4C8C">
        <w:tc>
          <w:tcPr>
            <w:tcW w:w="2604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хозяйствующих субъектов</w:t>
            </w:r>
          </w:p>
        </w:tc>
        <w:tc>
          <w:tcPr>
            <w:tcW w:w="74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74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- 2</w:t>
            </w:r>
          </w:p>
        </w:tc>
      </w:tr>
      <w:tr w:rsidR="000B168C" w:rsidRPr="008B4C8C" w:rsidTr="008B4C8C">
        <w:tc>
          <w:tcPr>
            <w:tcW w:w="2604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Субъекты малого и среднего предпринимательства, в том числе:</w:t>
            </w:r>
          </w:p>
        </w:tc>
        <w:tc>
          <w:tcPr>
            <w:tcW w:w="74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4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89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- 2</w:t>
            </w:r>
          </w:p>
        </w:tc>
      </w:tr>
      <w:tr w:rsidR="000B168C" w:rsidRPr="008B4C8C" w:rsidTr="008B4C8C">
        <w:tc>
          <w:tcPr>
            <w:tcW w:w="2604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индивидуальные предприниматели </w:t>
            </w:r>
          </w:p>
        </w:tc>
        <w:tc>
          <w:tcPr>
            <w:tcW w:w="74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74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89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+ 14</w:t>
            </w:r>
          </w:p>
        </w:tc>
      </w:tr>
      <w:tr w:rsidR="000B168C" w:rsidRPr="008B4C8C" w:rsidTr="008B4C8C">
        <w:tc>
          <w:tcPr>
            <w:tcW w:w="2604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- малые и средние предприятия</w:t>
            </w:r>
          </w:p>
        </w:tc>
        <w:tc>
          <w:tcPr>
            <w:tcW w:w="74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74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89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- 16</w:t>
            </w:r>
          </w:p>
        </w:tc>
      </w:tr>
    </w:tbl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Численность занятых в малом и среднем бизнесе составила более 3,5 тыс. человек</w:t>
      </w:r>
      <w:r w:rsidR="00BD2643" w:rsidRPr="008B4C8C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В 2018 году субъекты малого бизнеса обеспечили поступление в бюджет городского округа Вичуга единого налога на вмененный доход в сумме 12 млн. 377 тыс. рублей,  что на 1 млн. 268 тыс. рублей меньше, чем в 2017  году. </w:t>
      </w: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В 2018 году выдано 265 </w:t>
      </w:r>
      <w:r w:rsidR="00E81D89" w:rsidRPr="008B4C8C">
        <w:rPr>
          <w:rFonts w:ascii="Times New Roman" w:eastAsia="Times New Roman" w:hAnsi="Times New Roman" w:cs="Times New Roman"/>
          <w:sz w:val="18"/>
          <w:szCs w:val="18"/>
        </w:rPr>
        <w:t>патентов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(в 2017 году выдано 307 патентов, в 2016 году  выдано 298 патентов, в 2015 г. – 297 патентов). </w:t>
      </w:r>
    </w:p>
    <w:p w:rsidR="000B168C" w:rsidRPr="008B4C8C" w:rsidRDefault="000B168C" w:rsidP="00BF4CB9">
      <w:pPr>
        <w:tabs>
          <w:tab w:val="left" w:pos="525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  <w:t xml:space="preserve">   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>На основании отчета по исполнению бюджета городского округа Вичуга доходы от налога, взимаемого в связи с применением патентной системы налогообложения, составили: в 2018 г. - 3502,58</w:t>
      </w:r>
      <w:r w:rsidR="00E81D89" w:rsidRPr="008B4C8C">
        <w:rPr>
          <w:rFonts w:ascii="Times New Roman" w:eastAsia="Times New Roman" w:hAnsi="Times New Roman" w:cs="Times New Roman"/>
          <w:sz w:val="18"/>
          <w:szCs w:val="18"/>
        </w:rPr>
        <w:t xml:space="preserve"> тыс. руб.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, 2017 г. – 3902,0 тыс. руб.,  в 2016 году – 3425,4 тыс. руб., в 2015 году – 3 132,8 тыс. руб. </w:t>
      </w: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Уменьшение налогов от применения патентной системы налогообложения  и единого налога на вмененный доход в бюджет городского округа Вичуга связано с тем, что плательщики налогов по патентной системе  налогообложения и уплачивающие ЕНВД, имеют возможность уменьшить размер налогов и получить вычет на сумму стоимости приобретенных онлайн касс. И </w:t>
      </w:r>
      <w:proofErr w:type="spellStart"/>
      <w:r w:rsidRPr="008B4C8C">
        <w:rPr>
          <w:rFonts w:ascii="Times New Roman" w:eastAsia="Times New Roman" w:hAnsi="Times New Roman" w:cs="Times New Roman"/>
          <w:sz w:val="18"/>
          <w:szCs w:val="18"/>
        </w:rPr>
        <w:t>вичугские</w:t>
      </w:r>
      <w:proofErr w:type="spellEnd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предприниматели активно пользуются данным предложением, в результате чего бюджет города недополучил доход в объеме 1,268 млн. руб.</w:t>
      </w:r>
    </w:p>
    <w:p w:rsidR="000B168C" w:rsidRPr="008B4C8C" w:rsidRDefault="000B168C" w:rsidP="00BF4CB9">
      <w:pPr>
        <w:tabs>
          <w:tab w:val="left" w:pos="525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ab/>
      </w:r>
      <w:r w:rsidR="00BD2643" w:rsidRPr="008B4C8C">
        <w:rPr>
          <w:rFonts w:ascii="Times New Roman" w:eastAsia="Times New Roman" w:hAnsi="Times New Roman" w:cs="Times New Roman"/>
          <w:sz w:val="18"/>
          <w:szCs w:val="18"/>
        </w:rPr>
        <w:tab/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Поддержка малого и среднего бизнеса является одной из главных задач в деятельности администрации города. </w:t>
      </w:r>
      <w:proofErr w:type="gramStart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В   2018  году  в рамках подпрограммы «Поддержка малого и среднего предпринимательства на территории городского округа Вичуга» муниципальной программы «Экономическое развитие и инновационная экономика городского округа Вичуга» оказана поддержка  </w:t>
      </w:r>
      <w:r w:rsidR="00E81D89" w:rsidRPr="008B4C8C">
        <w:rPr>
          <w:rFonts w:ascii="Times New Roman" w:eastAsia="Times New Roman" w:hAnsi="Times New Roman" w:cs="Times New Roman"/>
          <w:sz w:val="18"/>
          <w:szCs w:val="18"/>
        </w:rPr>
        <w:t xml:space="preserve">8 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субъектам малого </w:t>
      </w:r>
      <w:r w:rsidR="00E81D89" w:rsidRPr="008B4C8C">
        <w:rPr>
          <w:rFonts w:ascii="Times New Roman" w:eastAsia="Times New Roman" w:hAnsi="Times New Roman" w:cs="Times New Roman"/>
          <w:sz w:val="18"/>
          <w:szCs w:val="18"/>
        </w:rPr>
        <w:t xml:space="preserve"> и среднего 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>предпринимательства по направлению «Субсидирование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</w:t>
      </w:r>
      <w:proofErr w:type="gramEnd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в целях создания и (или) развития либо модернизации производства товаров (работ, услуг)» на сумму 4 млн. 330 т. р.</w:t>
      </w:r>
    </w:p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ab/>
        <w:t>Социально-экономический эффект от мер предоставленной поддержки субъектам малого и среднего предпринимательства состоит в том,  что были созданы 15  рабочих мест и  порядка  300  рабочих мест сохранены.</w:t>
      </w:r>
    </w:p>
    <w:p w:rsidR="00BD2643" w:rsidRPr="008B4C8C" w:rsidRDefault="00BD2643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В целом  розничный товарооборот за 2018 год составил  4 млрд. 493 млн. руб. (включая  вещевые, смешанные, продовольственные рынки и ярмарки, также субъекты МП), что составляет 2,2 %  к обороту розничной торговли за 2017 год.  Оборот на душу населения городского округа Вичуга составил 132,5 тыс. рублей.  </w:t>
      </w: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По состоянию на 01.01.2019 год на территории  городского округа Вичуга  осуществляют деятельность 288 предприятий розничной торговли. В  городском округе Вичуга действуют 33 киоска и 22 павильона. По состоянию на 1 января 2019 года 71% - составляют магазины, реализующие  непродовольственные товары, 19% - продовольственные товары и 10% - магазины смешанной формы торговли. В среднем на 1000 жителей городского округа  приходится 8  магазинов.</w:t>
      </w: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Торговые  компании активно открывают новые торговые площади. В течение 2018 года вновь открыто 5 магаз</w:t>
      </w:r>
      <w:r w:rsidR="00E81D89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инов,  в том числе «Пятерочка», «5 Сезон»,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«Смешные цены».</w:t>
      </w: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В городе активно развиваются российские сетевые  компании, среди них «Высшая лига» - 4 магазина,  «Магнит» - 11 магазинов, «Пятерочка» - 4</w:t>
      </w:r>
      <w:r w:rsidR="00E81D89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магазина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, «Кенгуру» - 1 магазин.</w:t>
      </w:r>
      <w:proofErr w:type="gramEnd"/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Важнейшим критерием  развитости потребительского рынка является обеспеченность населения торговыми площадями. Правительством Ивановской области установлен   показатель 569 кв. м. на 1 тыс. человек, в том числе по продаже продовольственных товаров -  199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кв.м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., по продаже непродовольственных товаров  - 370 кв. м.  </w:t>
      </w: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На начало 2019 г. обеспеченность торговыми площадями в городе составила 748  кв. м. на 1 тыс. человек, в том числе  по продаже продовольственных товаров - 302 кв. м., непродовольственных товаров - 450 кв. м.  Фактическая обеспеченность торговыми площадями значительно выше установленной нормативной величины на 31,5 %.</w:t>
      </w:r>
    </w:p>
    <w:p w:rsidR="000B168C" w:rsidRPr="008B4C8C" w:rsidRDefault="000B168C" w:rsidP="00BF4CB9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0B168C" w:rsidRPr="008B4C8C" w:rsidRDefault="000B168C" w:rsidP="00BF4CB9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Норматив минимальной  обеспеченности  торговыми площадями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875"/>
        <w:gridCol w:w="1839"/>
        <w:gridCol w:w="1527"/>
      </w:tblGrid>
      <w:tr w:rsidR="000B168C" w:rsidRPr="008B4C8C" w:rsidTr="008B4C8C">
        <w:tc>
          <w:tcPr>
            <w:tcW w:w="1358" w:type="pct"/>
          </w:tcPr>
          <w:p w:rsidR="000B168C" w:rsidRPr="008B4C8C" w:rsidRDefault="000B168C" w:rsidP="00BD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3" w:type="pct"/>
          </w:tcPr>
          <w:p w:rsidR="000B168C" w:rsidRPr="008B4C8C" w:rsidRDefault="000B168C" w:rsidP="00BD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Установленный норматив </w:t>
            </w:r>
            <w:proofErr w:type="gram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для</w:t>
            </w:r>
            <w:proofErr w:type="gram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0B168C" w:rsidRPr="008B4C8C" w:rsidRDefault="000B168C" w:rsidP="00BD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г. Вичуга  </w:t>
            </w:r>
          </w:p>
          <w:p w:rsidR="000B168C" w:rsidRPr="008B4C8C" w:rsidRDefault="000B168C" w:rsidP="00BD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(кв. м. на 1 тыс. человек)</w:t>
            </w:r>
          </w:p>
        </w:tc>
        <w:tc>
          <w:tcPr>
            <w:tcW w:w="1278" w:type="pct"/>
          </w:tcPr>
          <w:p w:rsidR="000B168C" w:rsidRPr="008B4C8C" w:rsidRDefault="000B168C" w:rsidP="00BD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 01.01.2018 г.</w:t>
            </w:r>
          </w:p>
          <w:p w:rsidR="000B168C" w:rsidRPr="008B4C8C" w:rsidRDefault="000B168C" w:rsidP="00BD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(кв. м. на 1 тыс. человек)</w:t>
            </w:r>
          </w:p>
        </w:tc>
        <w:tc>
          <w:tcPr>
            <w:tcW w:w="1061" w:type="pct"/>
          </w:tcPr>
          <w:p w:rsidR="000B168C" w:rsidRPr="008B4C8C" w:rsidRDefault="000B168C" w:rsidP="00BD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 01.01.2019 г.</w:t>
            </w:r>
          </w:p>
          <w:p w:rsidR="000B168C" w:rsidRPr="008B4C8C" w:rsidRDefault="00BD2643" w:rsidP="00BD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(кв. м. на 1</w:t>
            </w:r>
            <w:r w:rsidR="000B168C"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тыс. человек)</w:t>
            </w:r>
          </w:p>
        </w:tc>
      </w:tr>
      <w:tr w:rsidR="000B168C" w:rsidRPr="008B4C8C" w:rsidTr="008B4C8C">
        <w:tc>
          <w:tcPr>
            <w:tcW w:w="1358" w:type="pct"/>
          </w:tcPr>
          <w:p w:rsidR="000B168C" w:rsidRPr="008B4C8C" w:rsidRDefault="000B168C" w:rsidP="00BD26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03" w:type="pct"/>
          </w:tcPr>
          <w:p w:rsidR="000B168C" w:rsidRPr="008B4C8C" w:rsidRDefault="000B168C" w:rsidP="00BD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569</w:t>
            </w:r>
          </w:p>
        </w:tc>
        <w:tc>
          <w:tcPr>
            <w:tcW w:w="1278" w:type="pct"/>
          </w:tcPr>
          <w:p w:rsidR="000B168C" w:rsidRPr="008B4C8C" w:rsidRDefault="000B168C" w:rsidP="00BD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723</w:t>
            </w:r>
          </w:p>
        </w:tc>
        <w:tc>
          <w:tcPr>
            <w:tcW w:w="1061" w:type="pct"/>
          </w:tcPr>
          <w:p w:rsidR="000B168C" w:rsidRPr="008B4C8C" w:rsidRDefault="000B168C" w:rsidP="00BD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748</w:t>
            </w:r>
          </w:p>
        </w:tc>
      </w:tr>
      <w:tr w:rsidR="000B168C" w:rsidRPr="008B4C8C" w:rsidTr="008B4C8C">
        <w:tc>
          <w:tcPr>
            <w:tcW w:w="1358" w:type="pct"/>
          </w:tcPr>
          <w:p w:rsidR="000B168C" w:rsidRPr="008B4C8C" w:rsidRDefault="000B168C" w:rsidP="00BD26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 продаже  продовольственных товаров</w:t>
            </w:r>
          </w:p>
        </w:tc>
        <w:tc>
          <w:tcPr>
            <w:tcW w:w="1303" w:type="pct"/>
          </w:tcPr>
          <w:p w:rsidR="000B168C" w:rsidRPr="008B4C8C" w:rsidRDefault="000B168C" w:rsidP="00BD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199</w:t>
            </w:r>
          </w:p>
        </w:tc>
        <w:tc>
          <w:tcPr>
            <w:tcW w:w="1278" w:type="pct"/>
          </w:tcPr>
          <w:p w:rsidR="000B168C" w:rsidRPr="008B4C8C" w:rsidRDefault="000B168C" w:rsidP="00BD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288</w:t>
            </w:r>
          </w:p>
        </w:tc>
        <w:tc>
          <w:tcPr>
            <w:tcW w:w="1061" w:type="pct"/>
          </w:tcPr>
          <w:p w:rsidR="000B168C" w:rsidRPr="008B4C8C" w:rsidRDefault="000B168C" w:rsidP="00BD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302</w:t>
            </w:r>
          </w:p>
        </w:tc>
      </w:tr>
      <w:tr w:rsidR="000B168C" w:rsidRPr="008B4C8C" w:rsidTr="008B4C8C">
        <w:tc>
          <w:tcPr>
            <w:tcW w:w="1358" w:type="pct"/>
          </w:tcPr>
          <w:p w:rsidR="000B168C" w:rsidRPr="008B4C8C" w:rsidRDefault="000B168C" w:rsidP="00BD26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 продаже промышленных товаров</w:t>
            </w:r>
          </w:p>
        </w:tc>
        <w:tc>
          <w:tcPr>
            <w:tcW w:w="1303" w:type="pct"/>
          </w:tcPr>
          <w:p w:rsidR="000B168C" w:rsidRPr="008B4C8C" w:rsidRDefault="000B168C" w:rsidP="00BD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370</w:t>
            </w:r>
          </w:p>
        </w:tc>
        <w:tc>
          <w:tcPr>
            <w:tcW w:w="1278" w:type="pct"/>
          </w:tcPr>
          <w:p w:rsidR="000B168C" w:rsidRPr="008B4C8C" w:rsidRDefault="000B168C" w:rsidP="00BD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435</w:t>
            </w:r>
          </w:p>
        </w:tc>
        <w:tc>
          <w:tcPr>
            <w:tcW w:w="1061" w:type="pct"/>
          </w:tcPr>
          <w:p w:rsidR="000B168C" w:rsidRPr="008B4C8C" w:rsidRDefault="000B168C" w:rsidP="00BD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450</w:t>
            </w:r>
          </w:p>
        </w:tc>
      </w:tr>
    </w:tbl>
    <w:p w:rsidR="000B168C" w:rsidRPr="008B4C8C" w:rsidRDefault="000B168C" w:rsidP="00BF4CB9">
      <w:pPr>
        <w:spacing w:after="0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</w:pP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За последнее время  увеличивается количество торговых площадей непродовольственных магазинов. Сеть  предприятий  розничной торговли расширяется и обновляется, проводятся реконструкции действующих магазинов.</w:t>
      </w: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Немаловажную роль в обеспечении населения  доступными товарами продолжают играть ярмарки. На территории городского округа Вичуга функционируют 4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постоянно действующие ярмарки  по продаже  промышленных, продовольственных товаров и сельхозпродукции. Организатором ярмарок являются  МУП «Городские рынки»,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Вичугское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райпо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Широкое распространение получила практика организации сельскохозяйственных ярмарок и ярмарок  «выходного дня» с участием сельхозпроизводителей. В  течение 2018 г. проведено 8 сельскохозяйственных ярмарок  и ярмарок  «выходного дня»  с предоставлением  77 мест. </w:t>
      </w: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В настоящее время на территории городского округа Вичуга действуют 2 мелкооптовых склада, реализующих продукты питания (ЗАО «Купец», ООО «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Гипер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»). </w:t>
      </w: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Предоставлением бытовых услуг в Вичуге  занимаются 66 объектов бытового обслуживания населения. Оказываются разнообразные услуги: пошив и ремонт одежды,  парикмахерские услуги, ремонт бытовой техники,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авторемонт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услуги фотоателье, ритуальные услуги и др. </w:t>
      </w: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Общественное питание  в городском округе  представляют 33 объекта общественного питания на 1891 посадочное место. В городе открылись два новых кафе.</w:t>
      </w:r>
    </w:p>
    <w:p w:rsidR="000B168C" w:rsidRPr="008B4C8C" w:rsidRDefault="000B168C" w:rsidP="00BF4CB9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BD2643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Из общедоступных предприятий в городе действуют: 1 ресторан, 10 кафе, 4 бара, 2 столовые, 3 закусочные. Общее количество посадочных мест предприятий общедоступной сети составляет - 1013, обеспеченность жителей города посадочными местами предприятий общедоступной сети общественного питания составляет 27 мест на 1000 жителей городского округа. </w:t>
      </w: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В течение года 18 магазинов получили статус  социальных. Социальные магазины расположены во всех микрорайонах города. Торговая надбавка в социальных магазинах на товары первой необходимости не превышает 10%, а на хлеб - 5%. Перечень социальных товаров включает самые необходимые продукты питания. Создание  сети  социальных магазинов  и принятие мер по поддержанию  максимально низких цен на товары первой необходимости  помогают снять  социальную напряженность. Население получает  реальную экономию денежных сре</w:t>
      </w:r>
      <w:proofErr w:type="gram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дств пр</w:t>
      </w:r>
      <w:proofErr w:type="gram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 покупке товаров, входящих в потребительскую корзину. </w:t>
      </w: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В течение 2018 г. в соответствии с поручением Правительства РФ  организовано  проведение ежемесячного мониторинга цен на продовольственные товары. В список мониторинга вошли 40 наименований  социально значимых продуктов питания. Мониторинг показал, что в течение года наблюдалось как незначительное снижение, так и незначительный подъем цен на продовольственные товары, что было вызвано изменением закупочных цен в оптовом сегменте рынка.</w:t>
      </w:r>
    </w:p>
    <w:p w:rsidR="000B168C" w:rsidRPr="008B4C8C" w:rsidRDefault="000B168C" w:rsidP="00BF4CB9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</w:t>
      </w:r>
      <w:r w:rsidRPr="008B4C8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На рынке труда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уровень безработицы снизился  по сравнению с аналогичным периодом п</w:t>
      </w:r>
      <w:r w:rsidR="00BD2643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рошлого года с 1,28 % до 1,10%.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Численность официально зарегистрированных безработных с начала 2018 года снизилась на 37 человек и на 01.01.2019 г. составила 192 человека (на 01.01.2018 г. – 229 человек). </w:t>
      </w: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В 2018 году в рамках муниципальной подпрограммы «Организация проведения оплачиваемых общественных работ на терри</w:t>
      </w:r>
      <w:r w:rsidR="00E81D89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тории городского округа Вичуга»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было трудоустроено 79  человек. Объем финансирования данного мероприятия из средств бюджета городского округа Вичуга составил 303 тыс. руб. </w:t>
      </w: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Численность несовершеннолетних граждан, направленных на участие в мероприятиях по организации временного трудоустройства, составила 68 человек. Общий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объем финансирования данного мероприятия из средств бюджета городского округа Вичуга составил  151,998  тыс. руб. (В 2017 году – 70 чел. на сумму 101т. р.)</w:t>
      </w: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Администрация городского округа Вичуга совместно с ОГКУ «Вичугский ЦЗН»  продолжает  активную работу по исполнению Закона Ивановской области «О квотировании рабочих мест для инвалидов».</w:t>
      </w:r>
      <w:r w:rsidR="00BD2643" w:rsidRPr="008B4C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>В 2018 году количество организаций, полностью выполнивших квоту, увеличилось и составило 27 единиц (в 2017 году – 24 организации). За 2018 год было трудоустроено 45 инвалидов.</w:t>
      </w:r>
    </w:p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 xml:space="preserve"> </w:t>
      </w: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Полноценная работа экономики невозможна без привлечения </w:t>
      </w:r>
      <w:r w:rsidRPr="008B4C8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инвестиций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  <w:r w:rsidRPr="008B4C8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>В 2018 году объем инвестиций по городскому округу Вичуга за счет всех источников финансирования составил 192,2 млн. руб., что на 16,4 % больше по сравнению с 2017 годом (165,15 млн. руб.).</w:t>
      </w:r>
    </w:p>
    <w:p w:rsidR="000B168C" w:rsidRPr="008B4C8C" w:rsidRDefault="00E81D89" w:rsidP="00BD264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Одним</w:t>
      </w:r>
      <w:r w:rsidR="000B168C" w:rsidRPr="008B4C8C">
        <w:rPr>
          <w:rFonts w:ascii="Times New Roman" w:eastAsia="Times New Roman" w:hAnsi="Times New Roman" w:cs="Times New Roman"/>
          <w:sz w:val="18"/>
          <w:szCs w:val="18"/>
        </w:rPr>
        <w:t xml:space="preserve"> из основных инвестиционных вложений в экономику городского округа Вичуга </w:t>
      </w:r>
      <w:r w:rsidR="000B168C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стала реализация местным малым и средним бизнесом инвестиционных проектов по строительству, расширению и модернизации собственных производств, а именно: </w:t>
      </w:r>
    </w:p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- приобретение оборудования для увеличения выпуска и реализации мясных изделий – ИП </w:t>
      </w:r>
      <w:proofErr w:type="spellStart"/>
      <w:r w:rsidRPr="008B4C8C">
        <w:rPr>
          <w:rFonts w:ascii="Times New Roman" w:eastAsia="Times New Roman" w:hAnsi="Times New Roman" w:cs="Times New Roman"/>
          <w:sz w:val="18"/>
          <w:szCs w:val="18"/>
        </w:rPr>
        <w:t>Бувакина</w:t>
      </w:r>
      <w:proofErr w:type="spellEnd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Е.В.;</w:t>
      </w:r>
    </w:p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- приобретение оборудования – ООО «Торговый дом «</w:t>
      </w:r>
      <w:proofErr w:type="spellStart"/>
      <w:r w:rsidRPr="008B4C8C">
        <w:rPr>
          <w:rFonts w:ascii="Times New Roman" w:eastAsia="Times New Roman" w:hAnsi="Times New Roman" w:cs="Times New Roman"/>
          <w:sz w:val="18"/>
          <w:szCs w:val="18"/>
        </w:rPr>
        <w:t>Ногинец</w:t>
      </w:r>
      <w:proofErr w:type="spellEnd"/>
      <w:r w:rsidRPr="008B4C8C">
        <w:rPr>
          <w:rFonts w:ascii="Times New Roman" w:eastAsia="Times New Roman" w:hAnsi="Times New Roman" w:cs="Times New Roman"/>
          <w:sz w:val="18"/>
          <w:szCs w:val="18"/>
        </w:rPr>
        <w:t>»;</w:t>
      </w:r>
    </w:p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- строительство нежилых зданий (склады, столовая, хозяйственно-бытовое помещение) – ООО «</w:t>
      </w:r>
      <w:proofErr w:type="spellStart"/>
      <w:r w:rsidRPr="008B4C8C">
        <w:rPr>
          <w:rFonts w:ascii="Times New Roman" w:eastAsia="Times New Roman" w:hAnsi="Times New Roman" w:cs="Times New Roman"/>
          <w:sz w:val="18"/>
          <w:szCs w:val="18"/>
        </w:rPr>
        <w:t>Армос</w:t>
      </w:r>
      <w:proofErr w:type="spellEnd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-Блок»,  </w:t>
      </w:r>
    </w:p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- приобретение промышленного транспорта - ООО «Аякс».</w:t>
      </w:r>
    </w:p>
    <w:p w:rsidR="000B168C" w:rsidRPr="008B4C8C" w:rsidRDefault="000B168C" w:rsidP="00BD2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Развитие малого и среднего бизнеса на территории города и поддержка предпринимателей на 2019 год продолжает оставаться одним из приоритетных направлений в дея</w:t>
      </w:r>
      <w:r w:rsidR="00E81D89" w:rsidRPr="008B4C8C">
        <w:rPr>
          <w:rFonts w:ascii="Times New Roman" w:eastAsia="Times New Roman" w:hAnsi="Times New Roman" w:cs="Times New Roman"/>
          <w:sz w:val="18"/>
          <w:szCs w:val="18"/>
        </w:rPr>
        <w:t>тельности администрации. Кроме традиционных видов помощи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в текущем году представители малого и среднего бизнеса, которые намерены открыть центр для дневного времяпрепровождения детей или создать образовательный центр для малышей,  смогут уменьшить свои затраты, воспользовавшись субсидиями. </w:t>
      </w:r>
    </w:p>
    <w:p w:rsidR="00BD2643" w:rsidRPr="008B4C8C" w:rsidRDefault="00BD2643" w:rsidP="00BF4CB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B168C" w:rsidRPr="008B4C8C" w:rsidRDefault="000B168C" w:rsidP="00BF4CB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B4C8C">
        <w:rPr>
          <w:rFonts w:ascii="Times New Roman" w:eastAsia="Calibri" w:hAnsi="Times New Roman" w:cs="Times New Roman"/>
          <w:b/>
          <w:sz w:val="18"/>
          <w:szCs w:val="18"/>
        </w:rPr>
        <w:t>Муниципальное имущество</w:t>
      </w:r>
    </w:p>
    <w:p w:rsidR="00BD2643" w:rsidRPr="008B4C8C" w:rsidRDefault="00BD2643" w:rsidP="00BF4CB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C8C">
        <w:rPr>
          <w:rFonts w:ascii="Times New Roman" w:eastAsia="Calibri" w:hAnsi="Times New Roman" w:cs="Times New Roman"/>
          <w:sz w:val="18"/>
          <w:szCs w:val="18"/>
        </w:rPr>
        <w:t>Важным направлением деятельности администрации, нацеленн</w:t>
      </w:r>
      <w:r w:rsidR="00E81D89" w:rsidRPr="008B4C8C">
        <w:rPr>
          <w:rFonts w:ascii="Times New Roman" w:eastAsia="Calibri" w:hAnsi="Times New Roman" w:cs="Times New Roman"/>
          <w:sz w:val="18"/>
          <w:szCs w:val="18"/>
        </w:rPr>
        <w:t>ым</w:t>
      </w:r>
      <w:r w:rsidRPr="008B4C8C">
        <w:rPr>
          <w:rFonts w:ascii="Times New Roman" w:eastAsia="Calibri" w:hAnsi="Times New Roman" w:cs="Times New Roman"/>
          <w:sz w:val="18"/>
          <w:szCs w:val="18"/>
        </w:rPr>
        <w:t xml:space="preserve"> на пополнение местного бюджета, является работа по управлению муниципальным имуществом.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C8C">
        <w:rPr>
          <w:rFonts w:ascii="Times New Roman" w:eastAsia="Calibri" w:hAnsi="Times New Roman" w:cs="Times New Roman"/>
          <w:sz w:val="18"/>
          <w:szCs w:val="18"/>
        </w:rPr>
        <w:t xml:space="preserve">Общая стоимость муниципального имущества,  включенного в реестр муниципальной собственности городского округа Вичуга, по состоянию на 1 января 2019 г. составляет 1070,1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</w:rPr>
        <w:t>млн</w:t>
      </w:r>
      <w:proofErr w:type="gramStart"/>
      <w:r w:rsidRPr="008B4C8C">
        <w:rPr>
          <w:rFonts w:ascii="Times New Roman" w:eastAsia="Calibri" w:hAnsi="Times New Roman" w:cs="Times New Roman"/>
          <w:sz w:val="18"/>
          <w:szCs w:val="18"/>
        </w:rPr>
        <w:t>.р</w:t>
      </w:r>
      <w:proofErr w:type="gramEnd"/>
      <w:r w:rsidRPr="008B4C8C">
        <w:rPr>
          <w:rFonts w:ascii="Times New Roman" w:eastAsia="Calibri" w:hAnsi="Times New Roman" w:cs="Times New Roman"/>
          <w:sz w:val="18"/>
          <w:szCs w:val="18"/>
        </w:rPr>
        <w:t>уб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</w:rPr>
        <w:t xml:space="preserve">., в том числе движимое имущество -239,4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</w:rPr>
        <w:t>млн.руб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</w:rPr>
        <w:t xml:space="preserve">., недвижимое имущество -  830,7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</w:rPr>
        <w:t>млн.руб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</w:rPr>
        <w:t xml:space="preserve">., из них жилищный фонд 157,6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</w:rPr>
        <w:t>млн.руб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C8C">
        <w:rPr>
          <w:rFonts w:ascii="Times New Roman" w:eastAsia="Calibri" w:hAnsi="Times New Roman" w:cs="Times New Roman"/>
          <w:sz w:val="18"/>
          <w:szCs w:val="18"/>
        </w:rPr>
        <w:t xml:space="preserve">Площадь нежилых муниципальных объектов недвижимости  - 151,1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</w:rPr>
        <w:t>тыс.кв</w:t>
      </w:r>
      <w:proofErr w:type="gramStart"/>
      <w:r w:rsidRPr="008B4C8C">
        <w:rPr>
          <w:rFonts w:ascii="Times New Roman" w:eastAsia="Calibri" w:hAnsi="Times New Roman" w:cs="Times New Roman"/>
          <w:sz w:val="18"/>
          <w:szCs w:val="18"/>
        </w:rPr>
        <w:t>.м</w:t>
      </w:r>
      <w:proofErr w:type="spellEnd"/>
      <w:proofErr w:type="gramEnd"/>
      <w:r w:rsidRPr="008B4C8C">
        <w:rPr>
          <w:rFonts w:ascii="Times New Roman" w:eastAsia="Calibri" w:hAnsi="Times New Roman" w:cs="Times New Roman"/>
          <w:sz w:val="18"/>
          <w:szCs w:val="18"/>
        </w:rPr>
        <w:t xml:space="preserve">, муниципальный жилищный фонд  – 50,7 тыс.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</w:rPr>
        <w:t xml:space="preserve"> (1365 квартир).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C8C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BD2643" w:rsidRPr="008B4C8C">
        <w:rPr>
          <w:rFonts w:ascii="Times New Roman" w:eastAsia="Calibri" w:hAnsi="Times New Roman" w:cs="Times New Roman"/>
          <w:sz w:val="18"/>
          <w:szCs w:val="18"/>
        </w:rPr>
        <w:tab/>
      </w:r>
      <w:r w:rsidRPr="008B4C8C">
        <w:rPr>
          <w:rFonts w:ascii="Times New Roman" w:eastAsia="Calibri" w:hAnsi="Times New Roman" w:cs="Times New Roman"/>
          <w:sz w:val="18"/>
          <w:szCs w:val="18"/>
        </w:rPr>
        <w:t xml:space="preserve">Объекты нежилого фонда находятся: в хозяйственном ведении – 173 объекта (муниципальные унитарные предприятия),  в оперативном управлении – 125 объектов (муниципальные учреждения), в казне – 72 объекта.   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C8C">
        <w:rPr>
          <w:rFonts w:ascii="Times New Roman" w:eastAsia="Calibri" w:hAnsi="Times New Roman" w:cs="Times New Roman"/>
          <w:sz w:val="18"/>
          <w:szCs w:val="18"/>
        </w:rPr>
        <w:t xml:space="preserve">По состоянию на 01.01.2019г. заключено: 9 договоров аренды помещений  (зданий) общей площадью  3864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</w:rPr>
        <w:t>кв</w:t>
      </w:r>
      <w:proofErr w:type="gramStart"/>
      <w:r w:rsidRPr="008B4C8C">
        <w:rPr>
          <w:rFonts w:ascii="Times New Roman" w:eastAsia="Calibri" w:hAnsi="Times New Roman" w:cs="Times New Roman"/>
          <w:sz w:val="18"/>
          <w:szCs w:val="18"/>
        </w:rPr>
        <w:t>.м</w:t>
      </w:r>
      <w:proofErr w:type="spellEnd"/>
      <w:proofErr w:type="gramEnd"/>
      <w:r w:rsidRPr="008B4C8C">
        <w:rPr>
          <w:rFonts w:ascii="Times New Roman" w:eastAsia="Calibri" w:hAnsi="Times New Roman" w:cs="Times New Roman"/>
          <w:sz w:val="18"/>
          <w:szCs w:val="18"/>
        </w:rPr>
        <w:t xml:space="preserve"> и 2 концессионных соглашения – 2671,8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C8C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В 2018 году заключено 34 договора аренды земельных участков:  20 договоров с физическими лицами (общая площадь -1,46 га),  14 договоров с юридическими лицами (общая площадь -19,04 га). Общее количество действующих договоров аренды земельных участков – 490. Получено в доход городского бюджета от аренды недвижимого имущества -  11 412,4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</w:rPr>
        <w:t>тыс</w:t>
      </w:r>
      <w:proofErr w:type="gramStart"/>
      <w:r w:rsidRPr="008B4C8C">
        <w:rPr>
          <w:rFonts w:ascii="Times New Roman" w:eastAsia="Calibri" w:hAnsi="Times New Roman" w:cs="Times New Roman"/>
          <w:sz w:val="18"/>
          <w:szCs w:val="18"/>
        </w:rPr>
        <w:t>.р</w:t>
      </w:r>
      <w:proofErr w:type="gramEnd"/>
      <w:r w:rsidRPr="008B4C8C">
        <w:rPr>
          <w:rFonts w:ascii="Times New Roman" w:eastAsia="Calibri" w:hAnsi="Times New Roman" w:cs="Times New Roman"/>
          <w:sz w:val="18"/>
          <w:szCs w:val="18"/>
        </w:rPr>
        <w:t>уб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</w:rPr>
        <w:t xml:space="preserve">., в том числе: жилых и нежилых помещений – 6 626,5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</w:rPr>
        <w:t>тыс.руб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</w:rPr>
        <w:t xml:space="preserve">., земельных участков – 4 785,9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</w:rPr>
        <w:t>тыс.руб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C8C">
        <w:rPr>
          <w:rFonts w:ascii="Times New Roman" w:eastAsia="Calibri" w:hAnsi="Times New Roman" w:cs="Times New Roman"/>
          <w:sz w:val="18"/>
          <w:szCs w:val="18"/>
        </w:rPr>
        <w:t xml:space="preserve">В 2018  году получено доходов от продажи  недвижимого имущества  - 8494,3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</w:rPr>
        <w:t>тыс</w:t>
      </w:r>
      <w:proofErr w:type="gramStart"/>
      <w:r w:rsidRPr="008B4C8C">
        <w:rPr>
          <w:rFonts w:ascii="Times New Roman" w:eastAsia="Calibri" w:hAnsi="Times New Roman" w:cs="Times New Roman"/>
          <w:sz w:val="18"/>
          <w:szCs w:val="18"/>
        </w:rPr>
        <w:t>.р</w:t>
      </w:r>
      <w:proofErr w:type="gramEnd"/>
      <w:r w:rsidRPr="008B4C8C">
        <w:rPr>
          <w:rFonts w:ascii="Times New Roman" w:eastAsia="Calibri" w:hAnsi="Times New Roman" w:cs="Times New Roman"/>
          <w:sz w:val="18"/>
          <w:szCs w:val="18"/>
        </w:rPr>
        <w:t>уб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C8C">
        <w:rPr>
          <w:rFonts w:ascii="Times New Roman" w:eastAsia="Calibri" w:hAnsi="Times New Roman" w:cs="Times New Roman"/>
          <w:sz w:val="18"/>
          <w:szCs w:val="18"/>
        </w:rPr>
        <w:t xml:space="preserve">В соответствии с Федеральным законом РФ № 178-ФЗ «О государственной социальной помощи» приватизирован один муниципальный объект недвижимости  на сумму  2745,8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</w:rPr>
        <w:t>тыс</w:t>
      </w:r>
      <w:proofErr w:type="gramStart"/>
      <w:r w:rsidRPr="008B4C8C">
        <w:rPr>
          <w:rFonts w:ascii="Times New Roman" w:eastAsia="Calibri" w:hAnsi="Times New Roman" w:cs="Times New Roman"/>
          <w:sz w:val="18"/>
          <w:szCs w:val="18"/>
        </w:rPr>
        <w:t>.р</w:t>
      </w:r>
      <w:proofErr w:type="gramEnd"/>
      <w:r w:rsidRPr="008B4C8C">
        <w:rPr>
          <w:rFonts w:ascii="Times New Roman" w:eastAsia="Calibri" w:hAnsi="Times New Roman" w:cs="Times New Roman"/>
          <w:sz w:val="18"/>
          <w:szCs w:val="18"/>
        </w:rPr>
        <w:t>уб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</w:rPr>
        <w:t>. (без НДС).</w:t>
      </w:r>
    </w:p>
    <w:p w:rsidR="000B168C" w:rsidRPr="008B4C8C" w:rsidRDefault="000B168C" w:rsidP="00BD264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C8C">
        <w:rPr>
          <w:rFonts w:ascii="Times New Roman" w:eastAsia="Calibri" w:hAnsi="Times New Roman" w:cs="Times New Roman"/>
          <w:sz w:val="18"/>
          <w:szCs w:val="18"/>
        </w:rPr>
        <w:t xml:space="preserve">Передано в собственность земельных участков – 169 (14,97 га), из них  за плату – 92 (7,34 га). В целях исполнения федерального и регионального законодательства было предоставлено 25 земельных участков общей площадью 3,0 га семьям, имеющим трех и более детей. Для справки, в настоящее время в очереди на получение земельных участков состоят 85 семей. Перед администрацией города стоит первоочередная задача по ликвидации данной очереди.                                                          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C8C">
        <w:rPr>
          <w:rFonts w:ascii="Times New Roman" w:eastAsia="Calibri" w:hAnsi="Times New Roman" w:cs="Times New Roman"/>
          <w:sz w:val="18"/>
          <w:szCs w:val="18"/>
        </w:rPr>
        <w:t>В 2018 году администрация стала активно заниматься вопросом вовлечения в оборот земельных участков, неиспользуемых собственниками, на территории которых находятся разрушенные строения. На текущий момент из 12 ранее заброшенных земельных участков 9 участков  предоставлены для индивидуального жилищного строительства, 1 участок – для ведения огородничества, 1 участок - для строительства нежилого здания торгового назначения.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C8C">
        <w:rPr>
          <w:rFonts w:ascii="Times New Roman" w:eastAsia="Calibri" w:hAnsi="Times New Roman" w:cs="Times New Roman"/>
          <w:sz w:val="18"/>
          <w:szCs w:val="18"/>
        </w:rPr>
        <w:t>Осуществляется инвентаризация, межевание и постановка на государственный кадастровый учет автомобильных дорог общего пользования местного значения городского округа Вичуга. По состоянию на 01.01.2019 в Едином государственном реестре недвижимости зарегистрировано право муниципальной собственности городского округа Вичуга на 10 автомобильных дорог общей протяженностью 18,2  км.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C8C"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</w:p>
    <w:p w:rsidR="000B168C" w:rsidRPr="008B4C8C" w:rsidRDefault="000B168C" w:rsidP="00BF4CB9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b/>
          <w:sz w:val="18"/>
          <w:szCs w:val="18"/>
        </w:rPr>
        <w:t>Комфортная городская среда</w:t>
      </w:r>
    </w:p>
    <w:p w:rsidR="000B168C" w:rsidRPr="008B4C8C" w:rsidRDefault="000B168C" w:rsidP="00BF4CB9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В 2018 году в нашем городе продолжилась реализация приоритетного федерального проекта «Формирование комфортной городской среды», в рамках которого был закончен проект благоустройства общественной территории "Аллея по ул. Советская". Здесь выполнены работы второго этапа благоустройства общественной территории: увеличена протяженность аллеи, посажены деревья, установлены светильники и арт-объекты. Стоимость работ по контракту составила 8 млн. 862 тыс. руб. Также в рамках  муниципальной программы установлено новое ограждение по периметру Ногинского парка на общую сумму 2 млн. 611 тыс.; благоустроена дворовая территория по адресу: г. Вичуга, ул. Ленинградская, д. 64, на которую было выделено 1 млн. 201 тыс. руб. </w:t>
      </w:r>
    </w:p>
    <w:p w:rsidR="000B168C" w:rsidRDefault="000B168C" w:rsidP="00BF4CB9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4C8C" w:rsidRPr="008B4C8C" w:rsidRDefault="008B4C8C" w:rsidP="00BF4CB9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219"/>
        <w:gridCol w:w="1550"/>
        <w:gridCol w:w="1328"/>
        <w:gridCol w:w="1107"/>
      </w:tblGrid>
      <w:tr w:rsidR="000B168C" w:rsidRPr="008B4C8C" w:rsidTr="008B4C8C">
        <w:tc>
          <w:tcPr>
            <w:tcW w:w="1384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</w:t>
            </w:r>
          </w:p>
        </w:tc>
      </w:tr>
      <w:tr w:rsidR="000B168C" w:rsidRPr="008B4C8C" w:rsidTr="008B4C8C">
        <w:tc>
          <w:tcPr>
            <w:tcW w:w="1384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Израсходовано в 2018 г.  </w:t>
            </w:r>
          </w:p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12 675,76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11 199,03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842,94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633,79</w:t>
            </w:r>
          </w:p>
        </w:tc>
      </w:tr>
      <w:tr w:rsidR="000B168C" w:rsidRPr="008B4C8C" w:rsidTr="008B4C8C">
        <w:tc>
          <w:tcPr>
            <w:tcW w:w="1384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Израсходовано в 2017г.</w:t>
            </w:r>
          </w:p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10 554,32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9 037,85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893,85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622,62</w:t>
            </w:r>
          </w:p>
        </w:tc>
      </w:tr>
    </w:tbl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Необходимо отметить, что все средства, выделяемые на программу «Формирование комфортной городской среды», были освоены в установленный срок. Оперативное решение возникающих вопросов дало нам возможность направить сэкономленные в процессе конкурса средства на выполнение дополнительных работ в рамках программы «Формирование комфортной городской среде».</w:t>
      </w:r>
    </w:p>
    <w:p w:rsidR="000B168C" w:rsidRPr="008B4C8C" w:rsidRDefault="00E81D89" w:rsidP="00702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В прошлом году </w:t>
      </w:r>
      <w:r w:rsidR="000B168C" w:rsidRPr="008B4C8C">
        <w:rPr>
          <w:rFonts w:ascii="Times New Roman" w:eastAsia="Times New Roman" w:hAnsi="Times New Roman" w:cs="Times New Roman"/>
          <w:sz w:val="18"/>
          <w:szCs w:val="18"/>
        </w:rPr>
        <w:t xml:space="preserve">при поддержке заместителя председателя Ивановской областной Думы А.К. Бурова, преобразился и </w:t>
      </w:r>
      <w:proofErr w:type="spellStart"/>
      <w:r w:rsidR="000B168C" w:rsidRPr="008B4C8C">
        <w:rPr>
          <w:rFonts w:ascii="Times New Roman" w:eastAsia="Times New Roman" w:hAnsi="Times New Roman" w:cs="Times New Roman"/>
          <w:sz w:val="18"/>
          <w:szCs w:val="18"/>
        </w:rPr>
        <w:t>Тезинский</w:t>
      </w:r>
      <w:proofErr w:type="spellEnd"/>
      <w:r w:rsidR="000B168C" w:rsidRPr="008B4C8C">
        <w:rPr>
          <w:rFonts w:ascii="Times New Roman" w:eastAsia="Times New Roman" w:hAnsi="Times New Roman" w:cs="Times New Roman"/>
          <w:sz w:val="18"/>
          <w:szCs w:val="18"/>
        </w:rPr>
        <w:t xml:space="preserve"> парк. Здесь были проведены работы по благоустройству: произведена очистка малого пруда, выпилены старые деревья, установлено ограждение, заасфальтированы пешеходные дорожки и проведено освещение. На этот проект из областного бюджета было выделено 1,9 млн. рублей; 100 тыс. рублей выделено из местного бюджета, также были задействованы денежные средства из внебюджетных источников.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В этом году запланированы работы по дальнейшему благоустройству «Парка </w:t>
      </w:r>
      <w:proofErr w:type="spellStart"/>
      <w:r w:rsidRPr="008B4C8C">
        <w:rPr>
          <w:rFonts w:ascii="Times New Roman" w:eastAsia="Times New Roman" w:hAnsi="Times New Roman" w:cs="Times New Roman"/>
          <w:sz w:val="18"/>
          <w:szCs w:val="18"/>
        </w:rPr>
        <w:t>Тезино</w:t>
      </w:r>
      <w:proofErr w:type="spellEnd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», которые будут выполнены в рамках муниципальной программы «Формирование комфортной городской среды». На эти работы предусмотрены денежные средства в размере 4 млн. 502 тыс. руб. </w:t>
      </w:r>
    </w:p>
    <w:p w:rsidR="00702304" w:rsidRPr="008B4C8C" w:rsidRDefault="00702304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B168C" w:rsidRPr="008B4C8C" w:rsidRDefault="00702304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0B168C" w:rsidRPr="008B4C8C">
        <w:rPr>
          <w:rFonts w:ascii="Times New Roman" w:eastAsia="Times New Roman" w:hAnsi="Times New Roman" w:cs="Times New Roman"/>
          <w:b/>
          <w:sz w:val="18"/>
          <w:szCs w:val="18"/>
        </w:rPr>
        <w:t>После модернизации уличного освещения</w:t>
      </w:r>
      <w:r w:rsidR="000B168C" w:rsidRPr="008B4C8C">
        <w:rPr>
          <w:rFonts w:ascii="Times New Roman" w:eastAsia="Times New Roman" w:hAnsi="Times New Roman" w:cs="Times New Roman"/>
          <w:sz w:val="18"/>
          <w:szCs w:val="18"/>
        </w:rPr>
        <w:t>, в рамках которого в 2016-2018 годах были заменены 2655 обычных светильник</w:t>
      </w:r>
      <w:r w:rsidR="00E81D89" w:rsidRPr="008B4C8C">
        <w:rPr>
          <w:rFonts w:ascii="Times New Roman" w:eastAsia="Times New Roman" w:hAnsi="Times New Roman" w:cs="Times New Roman"/>
          <w:sz w:val="18"/>
          <w:szCs w:val="18"/>
        </w:rPr>
        <w:t>ов</w:t>
      </w:r>
      <w:r w:rsidR="000B168C" w:rsidRPr="008B4C8C">
        <w:rPr>
          <w:rFonts w:ascii="Times New Roman" w:eastAsia="Times New Roman" w:hAnsi="Times New Roman" w:cs="Times New Roman"/>
          <w:sz w:val="18"/>
          <w:szCs w:val="18"/>
        </w:rPr>
        <w:t xml:space="preserve"> на энергосберегающие, мы продолжаем отмечать снижение потребления электроэнергии и соответственно снижение оплаты за электроэнергию по уличному освещению. </w:t>
      </w:r>
    </w:p>
    <w:p w:rsidR="000B168C" w:rsidRPr="008B4C8C" w:rsidRDefault="000B168C" w:rsidP="0070230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Сравнительная таблица по экономии потребления электроэнергии:</w:t>
      </w:r>
    </w:p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350"/>
        <w:gridCol w:w="2512"/>
        <w:gridCol w:w="2333"/>
      </w:tblGrid>
      <w:tr w:rsidR="000B168C" w:rsidRPr="008B4C8C" w:rsidTr="008B4C8C">
        <w:trPr>
          <w:trHeight w:val="300"/>
          <w:jc w:val="center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2016</w:t>
            </w:r>
          </w:p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(общее потребление кВт)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(общее потребление кВт)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(общее потребление кВт)</w:t>
            </w:r>
          </w:p>
        </w:tc>
      </w:tr>
      <w:tr w:rsidR="000B168C" w:rsidRPr="008B4C8C" w:rsidTr="008B4C8C">
        <w:trPr>
          <w:trHeight w:val="300"/>
          <w:jc w:val="center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=SUM(ABOVE) </w:instrText>
            </w: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2 082 839</w:t>
            </w: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=SUM(ABOVE) </w:instrText>
            </w: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1 570 647</w:t>
            </w: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1 115 604</w:t>
            </w:r>
          </w:p>
        </w:tc>
      </w:tr>
    </w:tbl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B168C" w:rsidRPr="008B4C8C" w:rsidRDefault="000B168C" w:rsidP="0070230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Сравнительная таблица оплаты электроэнергии по уличному освещению</w:t>
      </w:r>
    </w:p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88"/>
        <w:gridCol w:w="2387"/>
        <w:gridCol w:w="2570"/>
        <w:gridCol w:w="1250"/>
      </w:tblGrid>
      <w:tr w:rsidR="000B168C" w:rsidRPr="008B4C8C" w:rsidTr="008B4C8C">
        <w:trPr>
          <w:trHeight w:val="300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8C" w:rsidRPr="008B4C8C" w:rsidRDefault="000B168C" w:rsidP="00BF4CB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2018 г.</w:t>
            </w:r>
          </w:p>
        </w:tc>
      </w:tr>
      <w:tr w:rsidR="000B168C" w:rsidRPr="008B4C8C" w:rsidTr="008B4C8C">
        <w:trPr>
          <w:trHeight w:val="77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68C" w:rsidRPr="008B4C8C" w:rsidRDefault="000B168C" w:rsidP="00BF4CB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(рубль)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=SUM(ABOVE) </w:instrText>
            </w: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12 715 26</w:t>
            </w: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=SUM(ABOVE) </w:instrText>
            </w: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11 013 24</w:t>
            </w: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7 878 942</w:t>
            </w:r>
          </w:p>
        </w:tc>
      </w:tr>
    </w:tbl>
    <w:p w:rsidR="000B168C" w:rsidRPr="008B4C8C" w:rsidRDefault="000B168C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8B4C8C" w:rsidRDefault="008B4C8C" w:rsidP="0070230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B4C8C" w:rsidRDefault="008B4C8C" w:rsidP="0070230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168C" w:rsidRPr="008B4C8C" w:rsidRDefault="000B168C" w:rsidP="0070230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lastRenderedPageBreak/>
        <w:t>Сравнительная таблица увеличения стоимости тарифа на уличное освещение</w:t>
      </w:r>
    </w:p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35"/>
        <w:gridCol w:w="1650"/>
        <w:gridCol w:w="1650"/>
        <w:gridCol w:w="1060"/>
      </w:tblGrid>
      <w:tr w:rsidR="000B168C" w:rsidRPr="008B4C8C" w:rsidTr="008B4C8C">
        <w:trPr>
          <w:trHeight w:val="30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8C" w:rsidRPr="008B4C8C" w:rsidRDefault="000B168C" w:rsidP="00BF4CB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 Сравнение по тарифам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B4C8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2016 г</w:t>
              </w:r>
            </w:smartTag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2018 г.</w:t>
            </w:r>
          </w:p>
        </w:tc>
      </w:tr>
      <w:tr w:rsidR="000B168C" w:rsidRPr="008B4C8C" w:rsidTr="008B4C8C">
        <w:trPr>
          <w:trHeight w:val="611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68C" w:rsidRPr="008B4C8C" w:rsidRDefault="000B168C" w:rsidP="00BF4CB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тариф по приборам учета (без НДС)   (руб.)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5,1414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5,8708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5,8983</w:t>
            </w:r>
          </w:p>
        </w:tc>
      </w:tr>
      <w:tr w:rsidR="000B168C" w:rsidRPr="008B4C8C" w:rsidTr="008B4C8C">
        <w:trPr>
          <w:trHeight w:val="29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%  увеличения тарифа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(сравнение с 2015)</w:t>
            </w:r>
          </w:p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13,65%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(сравнение с 2016)</w:t>
            </w:r>
          </w:p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14,19%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(сравнение с 2017)</w:t>
            </w:r>
          </w:p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0,47%</w:t>
            </w:r>
          </w:p>
        </w:tc>
      </w:tr>
      <w:tr w:rsidR="000B168C" w:rsidRPr="008B4C8C" w:rsidTr="008B4C8C">
        <w:trPr>
          <w:trHeight w:val="75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тариф  без приборов учета (без НДС)  (руб.)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5,9023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6,6781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6,7516</w:t>
            </w:r>
          </w:p>
        </w:tc>
      </w:tr>
      <w:tr w:rsidR="000B168C" w:rsidRPr="008B4C8C" w:rsidTr="008B4C8C">
        <w:trPr>
          <w:trHeight w:val="363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%  увеличения тарифа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(сравнение с 2015)</w:t>
            </w:r>
          </w:p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13,35%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(сравнение с 2016)</w:t>
            </w:r>
          </w:p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13,15%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Сравнение с 2017)</w:t>
            </w:r>
            <w:proofErr w:type="gramEnd"/>
          </w:p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1,10%</w:t>
            </w:r>
          </w:p>
        </w:tc>
      </w:tr>
    </w:tbl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Также стоит отметить, что на работы по ремонту уличного освещения, в том числе замену проводов, ламп и опор, ремонт и замену светильников из городского бюджета было выделено 1, </w:t>
      </w:r>
      <w:r w:rsidR="004C4D96" w:rsidRPr="008B4C8C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млн. рублей.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В 2018 году по статье «</w:t>
      </w:r>
      <w:r w:rsidRPr="008B4C8C">
        <w:rPr>
          <w:rFonts w:ascii="Times New Roman" w:eastAsia="Times New Roman" w:hAnsi="Times New Roman" w:cs="Times New Roman"/>
          <w:b/>
          <w:sz w:val="18"/>
          <w:szCs w:val="18"/>
        </w:rPr>
        <w:t>капитальный ремонт общего имущества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многоквартирных жилых домов и муниципального жилищного фонда» за счет средств местного бюджета были выполнены работы по ремонту кровель на 2 домах на общую сумму 534 тыс. руб.</w:t>
      </w:r>
    </w:p>
    <w:p w:rsidR="00FC48A1" w:rsidRPr="008B4C8C" w:rsidRDefault="00FC48A1" w:rsidP="00BF4CB9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C48A1" w:rsidRPr="008B4C8C" w:rsidRDefault="00FC48A1" w:rsidP="00BF4CB9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168C" w:rsidRPr="008B4C8C" w:rsidRDefault="000B168C" w:rsidP="00BF4CB9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Сравнение по годам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1438"/>
        <w:gridCol w:w="1341"/>
        <w:gridCol w:w="1415"/>
      </w:tblGrid>
      <w:tr w:rsidR="000B168C" w:rsidRPr="008B4C8C" w:rsidTr="008B4C8C">
        <w:tc>
          <w:tcPr>
            <w:tcW w:w="2086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32" w:type="pct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83" w:type="pct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</w:tr>
      <w:tr w:rsidR="000B168C" w:rsidRPr="008B4C8C" w:rsidTr="008B4C8C">
        <w:tc>
          <w:tcPr>
            <w:tcW w:w="2086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Финансовые средства на ремонт жилья (тыс. руб.)</w:t>
            </w:r>
          </w:p>
        </w:tc>
        <w:tc>
          <w:tcPr>
            <w:tcW w:w="999" w:type="pct"/>
            <w:shd w:val="clear" w:color="auto" w:fill="auto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1231</w:t>
            </w:r>
          </w:p>
        </w:tc>
        <w:tc>
          <w:tcPr>
            <w:tcW w:w="932" w:type="pct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1229</w:t>
            </w:r>
          </w:p>
        </w:tc>
        <w:tc>
          <w:tcPr>
            <w:tcW w:w="983" w:type="pct"/>
          </w:tcPr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168C" w:rsidRPr="008B4C8C" w:rsidRDefault="000B168C" w:rsidP="00BF4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C8C">
              <w:rPr>
                <w:rFonts w:ascii="Times New Roman" w:eastAsia="Times New Roman" w:hAnsi="Times New Roman" w:cs="Times New Roman"/>
                <w:sz w:val="18"/>
                <w:szCs w:val="18"/>
              </w:rPr>
              <w:t>534</w:t>
            </w:r>
          </w:p>
        </w:tc>
      </w:tr>
    </w:tbl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В течение 2018 года сотрудники администрации контролировали ход проведения работ по программе капитального ремонта многоквартирных домов, добивались устранения выявленных замечаний. При необходимости инициировали внесение изменений в программу. Согласно программе были выполнены работы по ремонту 11 фасадов домов,  в 2-х домах  заменены инженерные системы. </w:t>
      </w:r>
    </w:p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ab/>
      </w:r>
      <w:r w:rsidRPr="008B4C8C">
        <w:rPr>
          <w:rFonts w:ascii="Times New Roman" w:eastAsia="Times New Roman" w:hAnsi="Times New Roman" w:cs="Times New Roman"/>
          <w:b/>
          <w:sz w:val="18"/>
          <w:szCs w:val="18"/>
        </w:rPr>
        <w:t>Вопросами  теплоснабжения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 города  занимаются две организации -   МУП «Объединённые котельные и тепловые сети»  </w:t>
      </w:r>
      <w:proofErr w:type="gramStart"/>
      <w:r w:rsidRPr="008B4C8C">
        <w:rPr>
          <w:rFonts w:ascii="Times New Roman" w:eastAsia="Times New Roman" w:hAnsi="Times New Roman" w:cs="Times New Roman"/>
          <w:sz w:val="18"/>
          <w:szCs w:val="18"/>
        </w:rPr>
        <w:t>и  ООО</w:t>
      </w:r>
      <w:proofErr w:type="gramEnd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proofErr w:type="spellStart"/>
      <w:r w:rsidRPr="008B4C8C">
        <w:rPr>
          <w:rFonts w:ascii="Times New Roman" w:eastAsia="Times New Roman" w:hAnsi="Times New Roman" w:cs="Times New Roman"/>
          <w:sz w:val="18"/>
          <w:szCs w:val="18"/>
        </w:rPr>
        <w:t>Теплоснаб</w:t>
      </w:r>
      <w:proofErr w:type="spellEnd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-Родники». </w:t>
      </w:r>
    </w:p>
    <w:p w:rsidR="000B168C" w:rsidRPr="008B4C8C" w:rsidRDefault="00E81D89" w:rsidP="00702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В городе 9 </w:t>
      </w:r>
      <w:r w:rsidR="000B168C" w:rsidRPr="008B4C8C">
        <w:rPr>
          <w:rFonts w:ascii="Times New Roman" w:eastAsia="Times New Roman" w:hAnsi="Times New Roman" w:cs="Times New Roman"/>
          <w:sz w:val="18"/>
          <w:szCs w:val="18"/>
        </w:rPr>
        <w:t>котельных общей мощностью 174,1 Гкал/час, обеспечивающи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>х</w:t>
      </w:r>
      <w:r w:rsidR="000B168C" w:rsidRPr="008B4C8C">
        <w:rPr>
          <w:rFonts w:ascii="Times New Roman" w:eastAsia="Times New Roman" w:hAnsi="Times New Roman" w:cs="Times New Roman"/>
          <w:sz w:val="18"/>
          <w:szCs w:val="18"/>
        </w:rPr>
        <w:t xml:space="preserve"> тепловой энергией  жилой фонд и объекты социальной сферы.   Годовая  отпускаемая  тепловая  энергия  на  производство  и  социальную  сферу составляет  283,4  тыс.  Гкал.  Протяженность  тепловых  сетей составляет 68,33 км  в  двухтрубном  исполнении.  </w:t>
      </w:r>
    </w:p>
    <w:p w:rsidR="000B168C" w:rsidRPr="008B4C8C" w:rsidRDefault="000B168C" w:rsidP="00BF4CB9">
      <w:pPr>
        <w:widowControl w:val="0"/>
        <w:tabs>
          <w:tab w:val="left" w:pos="449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ab/>
      </w:r>
      <w:r w:rsidRPr="008B4C8C">
        <w:rPr>
          <w:rFonts w:ascii="Times New Roman" w:eastAsia="Times New Roman" w:hAnsi="Times New Roman" w:cs="Times New Roman"/>
          <w:sz w:val="18"/>
          <w:szCs w:val="18"/>
        </w:rPr>
        <w:tab/>
        <w:t xml:space="preserve">В летний период проведены работы по текущему ремонту  зданий котельных, подготовке 25 котлов, ревизии и ремонту 155 единиц вспомогательного оборудования, 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наладке и проверке 114 единиц электрооборудования, ревизии 1012 единиц запорной арматуры, проведены работы по наладке и ремонту 24 тепловых узлов. Проведена замена 920 </w:t>
      </w:r>
      <w:proofErr w:type="gramStart"/>
      <w:r w:rsidRPr="008B4C8C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8B4C8C">
        <w:rPr>
          <w:rFonts w:ascii="Times New Roman" w:eastAsia="Times New Roman" w:hAnsi="Times New Roman" w:cs="Times New Roman"/>
          <w:sz w:val="18"/>
          <w:szCs w:val="18"/>
        </w:rPr>
        <w:t>/м ветхих участков теплопроводов.</w:t>
      </w:r>
    </w:p>
    <w:p w:rsidR="000B168C" w:rsidRPr="008B4C8C" w:rsidRDefault="000B168C" w:rsidP="00BF4CB9">
      <w:pPr>
        <w:widowControl w:val="0"/>
        <w:tabs>
          <w:tab w:val="left" w:pos="449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ab/>
        <w:t xml:space="preserve">Проведены работы по </w:t>
      </w:r>
      <w:proofErr w:type="spellStart"/>
      <w:r w:rsidRPr="008B4C8C">
        <w:rPr>
          <w:rFonts w:ascii="Times New Roman" w:eastAsia="Times New Roman" w:hAnsi="Times New Roman" w:cs="Times New Roman"/>
          <w:sz w:val="18"/>
          <w:szCs w:val="18"/>
        </w:rPr>
        <w:t>шайбированию</w:t>
      </w:r>
      <w:proofErr w:type="spellEnd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и  регулировке теплотрасс, что положительно сказалось на равномерной подаче теплоносителя к объектам отопления. </w:t>
      </w:r>
    </w:p>
    <w:p w:rsidR="000B168C" w:rsidRPr="008B4C8C" w:rsidRDefault="000B168C" w:rsidP="00BF4CB9">
      <w:pPr>
        <w:widowControl w:val="0"/>
        <w:tabs>
          <w:tab w:val="left" w:pos="449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ab/>
      </w:r>
      <w:r w:rsidRPr="008B4C8C">
        <w:rPr>
          <w:rFonts w:ascii="Times New Roman" w:eastAsia="Times New Roman" w:hAnsi="Times New Roman" w:cs="Times New Roman"/>
          <w:sz w:val="18"/>
          <w:szCs w:val="18"/>
        </w:rPr>
        <w:tab/>
        <w:t xml:space="preserve">Вопросами подготовки жилых домов к отопительному сезону занимались 4 управляющие организации. Проведены работы по замене 2789 </w:t>
      </w:r>
      <w:proofErr w:type="gramStart"/>
      <w:r w:rsidRPr="008B4C8C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8B4C8C">
        <w:rPr>
          <w:rFonts w:ascii="Times New Roman" w:eastAsia="Times New Roman" w:hAnsi="Times New Roman" w:cs="Times New Roman"/>
          <w:sz w:val="18"/>
          <w:szCs w:val="18"/>
        </w:rPr>
        <w:t>/м ветхих участков внутридомовых теплотрасс, замене 8 вводов систем отопления и горячего водоснабжения, ревизии электрощитов, запорной арматуры, промывке 141 прибор</w:t>
      </w:r>
      <w:r w:rsidR="00E81D89" w:rsidRPr="008B4C8C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отопления в квартирах.  </w:t>
      </w:r>
    </w:p>
    <w:p w:rsidR="000B168C" w:rsidRPr="008B4C8C" w:rsidRDefault="000B168C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ab/>
        <w:t>В ходе подготовки к отопительному сезону 2018-2019 годов  осуществлялся постоянный контроль выполняемых мероприятий, в администрации города проводились заседания штаба по подготовке к отопительному сезону. Благодаря этому удалось добиться безаварийной работы систем теплоснабжения.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b/>
          <w:sz w:val="18"/>
          <w:szCs w:val="18"/>
        </w:rPr>
        <w:t>Ремонт дорог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продолжает оставаться одним из приоритетных направлений деятельности городской администрации.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Работы по ямочному ремонту были выполнены на 33 улицах и переулках на  общую сумму 5 млн. 325 тыс. рублей. 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Ремонт картами автомобильных дорог общего пользования местного значения проводился вдоль улиц: Н.П. Куликовой, </w:t>
      </w:r>
      <w:proofErr w:type="gramStart"/>
      <w:r w:rsidRPr="008B4C8C">
        <w:rPr>
          <w:rFonts w:ascii="Times New Roman" w:eastAsia="Times New Roman" w:hAnsi="Times New Roman" w:cs="Times New Roman"/>
          <w:sz w:val="18"/>
          <w:szCs w:val="18"/>
        </w:rPr>
        <w:t>Вокзальная</w:t>
      </w:r>
      <w:proofErr w:type="gramEnd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(от пересечения с ул. Центральная до дома №5 по ул. Вокзальная), Володарского, Большая Пролетарская, Богдана Хмельницкого. Общая площадь ремонт дорог картами составила 6 870 м</w:t>
      </w:r>
      <w:proofErr w:type="gramStart"/>
      <w:r w:rsidRPr="008B4C8C">
        <w:rPr>
          <w:rFonts w:ascii="Times New Roman" w:eastAsia="Times New Roman" w:hAnsi="Times New Roman" w:cs="Times New Roman"/>
          <w:sz w:val="18"/>
          <w:szCs w:val="18"/>
        </w:rPr>
        <w:t>2</w:t>
      </w:r>
      <w:proofErr w:type="gramEnd"/>
      <w:r w:rsidRPr="008B4C8C">
        <w:rPr>
          <w:rFonts w:ascii="Times New Roman" w:eastAsia="Times New Roman" w:hAnsi="Times New Roman" w:cs="Times New Roman"/>
          <w:sz w:val="18"/>
          <w:szCs w:val="18"/>
        </w:rPr>
        <w:t>.  В 2018 году на ремонт дорог картами было выделено 7 973 тыс. рублей.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На средства местного бюджета в размере 1 млн. 082 тыс. рублей  в частном секторе были произведены работы по устройству щебеночного основания по 21 адресу и выполнен ремонт 5 водопропускных труб. 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В рамках исполнения наказов избирателей депутатам городской Думы также были выполнены работы по устройству щебеночного основания и восстановлению изношенного слоя проезжей части дорог частного сектора по 52 адресам, выполнены ремонтные работы придомовых территорий гравием у 15 домов, частично заасфальтированы придомовые территории у 4 МКД и тротуар по ул. </w:t>
      </w:r>
      <w:proofErr w:type="gramStart"/>
      <w:r w:rsidRPr="008B4C8C">
        <w:rPr>
          <w:rFonts w:ascii="Times New Roman" w:eastAsia="Times New Roman" w:hAnsi="Times New Roman" w:cs="Times New Roman"/>
          <w:sz w:val="18"/>
          <w:szCs w:val="18"/>
        </w:rPr>
        <w:t>Ленинградская</w:t>
      </w:r>
      <w:proofErr w:type="gramEnd"/>
      <w:r w:rsidRPr="008B4C8C">
        <w:rPr>
          <w:rFonts w:ascii="Times New Roman" w:eastAsia="Times New Roman" w:hAnsi="Times New Roman" w:cs="Times New Roman"/>
          <w:sz w:val="18"/>
          <w:szCs w:val="18"/>
        </w:rPr>
        <w:t>. У дома №33 по ул. 50 лет Октября была обустроена детская спортивная площадка. Общая сумма выполненных работ составила 5 млн. руб.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Большой объем работ по ремонту дорог запланирован на 2019 год. Ремонт дорог картами предполагается выполнить вдоль улиц: </w:t>
      </w:r>
      <w:proofErr w:type="gramStart"/>
      <w:r w:rsidRPr="008B4C8C">
        <w:rPr>
          <w:rFonts w:ascii="Times New Roman" w:eastAsia="Times New Roman" w:hAnsi="Times New Roman" w:cs="Times New Roman"/>
          <w:sz w:val="18"/>
          <w:szCs w:val="18"/>
        </w:rPr>
        <w:t>Большая</w:t>
      </w:r>
      <w:proofErr w:type="gramEnd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Пролетарская, Кинешемская – проезд к МБОУ №28 (ул. Клубная), 3-я </w:t>
      </w:r>
      <w:proofErr w:type="spellStart"/>
      <w:r w:rsidRPr="008B4C8C">
        <w:rPr>
          <w:rFonts w:ascii="Times New Roman" w:eastAsia="Times New Roman" w:hAnsi="Times New Roman" w:cs="Times New Roman"/>
          <w:sz w:val="18"/>
          <w:szCs w:val="18"/>
        </w:rPr>
        <w:t>Аншутинская</w:t>
      </w:r>
      <w:proofErr w:type="spellEnd"/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, 2-я Социалистическая, Парковая, Богдана Хмельницкого и Луначарского. Общая сумма этих работ - 17 млн. 552 тыс. рублей. </w:t>
      </w:r>
    </w:p>
    <w:p w:rsidR="000B168C" w:rsidRPr="008B4C8C" w:rsidRDefault="000B168C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eastAsia="ja-JP" w:bidi="fa-IR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ab/>
        <w:t>С</w:t>
      </w:r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началом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работы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>Р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егионального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оператора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по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обращению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с </w:t>
      </w: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>ТКО</w:t>
      </w:r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>н</w:t>
      </w:r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а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территории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городского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округа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Вичуга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у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многоквартирных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домов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>были установлены</w:t>
      </w:r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293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контейнера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. В </w:t>
      </w: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 xml:space="preserve">прошлом году частный сектор был также переведен на контейнерное содержание, на улицах частного сектора установили </w:t>
      </w:r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170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контейнеров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>.</w:t>
      </w:r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</w:p>
    <w:p w:rsidR="000B168C" w:rsidRPr="008B4C8C" w:rsidRDefault="000B168C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ab/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Хочется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отметить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,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что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,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несмотря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на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то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,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что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с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декабря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прошлого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года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МУП «САХ и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благоустройство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»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больше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не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занимается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вывозом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мусора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, </w:t>
      </w: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>оно</w:t>
      </w:r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продолжает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оставаться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lastRenderedPageBreak/>
        <w:t>одним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из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>основных</w:t>
      </w:r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предприятий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,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которое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занимается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вопросами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благоустройства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Вичуги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,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расчисткой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и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уборкой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городских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дорог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и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улиц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частного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сектора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. 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Продолжая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тему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благоустройства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,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нельзя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не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сказать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еще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об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одном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предприятии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в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этой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сфере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- МУП «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Зеленый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город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». 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Его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работник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>и</w:t>
      </w:r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приводят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в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порядок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скверы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,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аллеи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и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центральные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улицы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города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.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Ежегодно на территории города высаживается около 45 000 цветов, выращиваемых в теплицах предприятия.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На озеленение и благоустройство городских территорий общего пользования в 2018 году было выделено </w:t>
      </w:r>
      <w:r w:rsidR="004C4D96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более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2 млн. рублей.</w:t>
      </w:r>
      <w:r w:rsidRPr="008B4C8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Предприятием</w:t>
      </w:r>
      <w:r w:rsidRPr="008B4C8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выполнялись работы по вырубке мелких деревьев, кустарников и дикой поросли, скашивани</w:t>
      </w:r>
      <w:r w:rsidR="00E81D89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ю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травы в парках, скверах и вдоль главных улиц города, проводилась ежедневная уборка мусора по центральным городским улицам. Силами муниципальных предприятий «Зелёный город» и  «Комбинат коммунальных предприятий» проводились работы  по санитарной очистке памятников и обелисков городского округа Вичуга. 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>Кроме этого</w:t>
      </w:r>
      <w:r w:rsidR="00E81D89"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>,</w:t>
      </w:r>
      <w:r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 xml:space="preserve"> в городе ежегодно объявляются  месячники по улучшению благоустройства и санитарного состояния территории.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2018 году было проведено 5  общегородских субботников. </w:t>
      </w: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 xml:space="preserve">Организованы и проведены Всероссийские экологические субботники «Зеленая весна» и «Зеленая Россия». </w:t>
      </w:r>
      <w:r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>За время их проведения очищено от мусора 80 га территории, вывезено 3500 куб. м. мусора.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Ликвидированы 3</w:t>
      </w: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 xml:space="preserve"> несанкционированные свалки. 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ja-JP" w:bidi="fa-IR"/>
        </w:rPr>
      </w:pPr>
      <w:r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ja-JP" w:bidi="fa-IR"/>
        </w:rPr>
        <w:t>Силами предприятий и индивидуальных предпринимателей города  проведены работы  по сани</w:t>
      </w:r>
      <w:r w:rsidR="00E81D89"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ja-JP" w:bidi="fa-IR"/>
        </w:rPr>
        <w:t>тарной выпиловке сухих деревьев</w:t>
      </w:r>
      <w:r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ja-JP" w:bidi="fa-IR"/>
        </w:rPr>
        <w:t xml:space="preserve">  </w:t>
      </w:r>
      <w:proofErr w:type="gramStart"/>
      <w:r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ja-JP" w:bidi="fa-IR"/>
        </w:rPr>
        <w:t>в</w:t>
      </w:r>
      <w:proofErr w:type="gramEnd"/>
      <w:r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ja-JP" w:bidi="fa-IR"/>
        </w:rPr>
        <w:t xml:space="preserve"> </w:t>
      </w:r>
      <w:proofErr w:type="gramStart"/>
      <w:r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ja-JP" w:bidi="fa-IR"/>
        </w:rPr>
        <w:t>Ногинском</w:t>
      </w:r>
      <w:proofErr w:type="gramEnd"/>
      <w:r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ja-JP" w:bidi="fa-IR"/>
        </w:rPr>
        <w:t xml:space="preserve"> и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ja-JP" w:bidi="fa-IR"/>
        </w:rPr>
        <w:t>Тезинском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ja-JP" w:bidi="fa-IR"/>
        </w:rPr>
        <w:t xml:space="preserve"> парках. В парке «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ja-JP" w:bidi="fa-IR"/>
        </w:rPr>
        <w:t>Тезино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ja-JP" w:bidi="fa-IR"/>
        </w:rPr>
        <w:t xml:space="preserve">»  высажено 117 шт. хвойных деревьев. 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ja-JP" w:bidi="fa-IR"/>
        </w:rPr>
      </w:pPr>
      <w:r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ja-JP" w:bidi="fa-IR"/>
        </w:rPr>
        <w:t xml:space="preserve">Мне хотелось бы поблагодарить сотрудников администрации, депутатов городской Думы, руководителей предприятий и организаций, а также неравнодушных жителей города, откликнувшихся на наши призывы и принявших активное участие в благоустройстве города. 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Администрации города регионом переданы государственные полномочия по отлову и содержанию безнадзорных животных. В 2018 году  были  проведены мероприятия по отлову и содержанию 15 безнадзорных животных на сумму 37 500 рублей.  Выделенная в  2018 году субвенция  из областного бюджета на осуществление мероприятий по отлову и содержанию безнадзорных животных  реализована в полном объеме. Ее, конечно, крайне недостаточно для решения проблемы. Мы неоднократно обращались в </w:t>
      </w:r>
      <w:r w:rsidR="005D7985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П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равительство </w:t>
      </w:r>
      <w:r w:rsidR="005D7985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Ивановской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области за увеличением ассигнований на эти цели, но пока проблема не решена.</w:t>
      </w:r>
    </w:p>
    <w:p w:rsidR="000B168C" w:rsidRPr="008B4C8C" w:rsidRDefault="000B168C" w:rsidP="00702304">
      <w:pPr>
        <w:widowControl w:val="0"/>
        <w:shd w:val="clear" w:color="auto" w:fill="FFFFFF"/>
        <w:tabs>
          <w:tab w:val="left" w:pos="-669"/>
        </w:tabs>
        <w:suppressAutoHyphens/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  <w:lang w:eastAsia="ja-JP" w:bidi="fa-IR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>Мероприятия по отлову и содержанию безнадзорных животных</w:t>
      </w:r>
    </w:p>
    <w:p w:rsidR="000B168C" w:rsidRPr="008B4C8C" w:rsidRDefault="000B168C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eastAsia="ja-JP" w:bidi="fa-I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30"/>
        <w:gridCol w:w="1530"/>
        <w:gridCol w:w="1333"/>
      </w:tblGrid>
      <w:tr w:rsidR="000B168C" w:rsidRPr="008B4C8C" w:rsidTr="008B4C8C">
        <w:tc>
          <w:tcPr>
            <w:tcW w:w="1948" w:type="pct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063" w:type="pct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B4C8C">
                <w:rPr>
                  <w:rFonts w:ascii="Times New Roman" w:eastAsia="Calibri" w:hAnsi="Times New Roman" w:cs="Times New Roman"/>
                  <w:sz w:val="18"/>
                  <w:szCs w:val="18"/>
                  <w:lang w:val="de-DE" w:eastAsia="ja-JP" w:bidi="fa-IR"/>
                </w:rPr>
                <w:t>2016 г</w:t>
              </w:r>
            </w:smartTag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.</w:t>
            </w:r>
          </w:p>
        </w:tc>
        <w:tc>
          <w:tcPr>
            <w:tcW w:w="1063" w:type="pct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B4C8C">
                <w:rPr>
                  <w:rFonts w:ascii="Times New Roman" w:eastAsia="Calibri" w:hAnsi="Times New Roman" w:cs="Times New Roman"/>
                  <w:sz w:val="18"/>
                  <w:szCs w:val="18"/>
                  <w:lang w:val="de-DE" w:eastAsia="ja-JP" w:bidi="fa-IR"/>
                </w:rPr>
                <w:t>2017 г</w:t>
              </w:r>
            </w:smartTag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.</w:t>
            </w:r>
          </w:p>
        </w:tc>
        <w:tc>
          <w:tcPr>
            <w:tcW w:w="927" w:type="pct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B4C8C">
                <w:rPr>
                  <w:rFonts w:ascii="Times New Roman" w:eastAsia="Calibri" w:hAnsi="Times New Roman" w:cs="Times New Roman"/>
                  <w:sz w:val="18"/>
                  <w:szCs w:val="18"/>
                  <w:lang w:val="de-DE" w:eastAsia="ja-JP" w:bidi="fa-IR"/>
                </w:rPr>
                <w:t>2018 г</w:t>
              </w:r>
            </w:smartTag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.</w:t>
            </w:r>
          </w:p>
        </w:tc>
      </w:tr>
      <w:tr w:rsidR="000B168C" w:rsidRPr="008B4C8C" w:rsidTr="008B4C8C">
        <w:tc>
          <w:tcPr>
            <w:tcW w:w="1948" w:type="pct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Количество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отловленных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животных</w:t>
            </w:r>
            <w:proofErr w:type="spellEnd"/>
          </w:p>
        </w:tc>
        <w:tc>
          <w:tcPr>
            <w:tcW w:w="1063" w:type="pct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</w:p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26</w:t>
            </w:r>
          </w:p>
        </w:tc>
        <w:tc>
          <w:tcPr>
            <w:tcW w:w="1063" w:type="pct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</w:p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16</w:t>
            </w:r>
          </w:p>
        </w:tc>
        <w:tc>
          <w:tcPr>
            <w:tcW w:w="927" w:type="pct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</w:p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15</w:t>
            </w:r>
          </w:p>
        </w:tc>
      </w:tr>
      <w:tr w:rsidR="000B168C" w:rsidRPr="008B4C8C" w:rsidTr="008B4C8C">
        <w:tc>
          <w:tcPr>
            <w:tcW w:w="1948" w:type="pct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Количество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финансовых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средств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тыс.руб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.)</w:t>
            </w:r>
          </w:p>
        </w:tc>
        <w:tc>
          <w:tcPr>
            <w:tcW w:w="1063" w:type="pct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</w:p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60,0</w:t>
            </w:r>
          </w:p>
        </w:tc>
        <w:tc>
          <w:tcPr>
            <w:tcW w:w="1063" w:type="pct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</w:p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36,7</w:t>
            </w:r>
          </w:p>
        </w:tc>
        <w:tc>
          <w:tcPr>
            <w:tcW w:w="927" w:type="pct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</w:p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37,5</w:t>
            </w:r>
          </w:p>
        </w:tc>
      </w:tr>
    </w:tbl>
    <w:p w:rsidR="000B168C" w:rsidRPr="008B4C8C" w:rsidRDefault="000B168C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18"/>
          <w:szCs w:val="18"/>
          <w:lang w:val="de-DE" w:eastAsia="ja-JP" w:bidi="fa-IR"/>
        </w:rPr>
      </w:pPr>
    </w:p>
    <w:p w:rsidR="008B4C8C" w:rsidRDefault="008B4C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</w:pP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</w:pPr>
      <w:r w:rsidRPr="008B4C8C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lastRenderedPageBreak/>
        <w:t>Несколько слов о строительстве и жилищной политике: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proofErr w:type="gramStart"/>
      <w:r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За счет средств федерального и областного бюджетов гражданам из числа детей-сирот и детей, оставшихся без попечения родителей</w:t>
      </w:r>
      <w:r w:rsidR="005D7985"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</w:t>
      </w:r>
      <w:r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приобретены</w:t>
      </w:r>
      <w:r w:rsidRPr="008B4C8C">
        <w:rPr>
          <w:rFonts w:ascii="Times New Roman" w:eastAsia="Calibri" w:hAnsi="Times New Roman" w:cs="Times New Roman"/>
          <w:b/>
          <w:bCs/>
          <w:sz w:val="18"/>
          <w:szCs w:val="18"/>
          <w:shd w:val="clear" w:color="auto" w:fill="FFFFFF"/>
        </w:rPr>
        <w:t xml:space="preserve"> </w:t>
      </w:r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и предоставлены</w:t>
      </w:r>
      <w:r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2 квартиры. </w:t>
      </w:r>
      <w:proofErr w:type="gramEnd"/>
    </w:p>
    <w:p w:rsidR="000B168C" w:rsidRPr="008B4C8C" w:rsidRDefault="000B168C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eastAsia="ja-JP" w:bidi="fa-IR"/>
        </w:rPr>
      </w:pPr>
    </w:p>
    <w:p w:rsidR="000B168C" w:rsidRPr="008B4C8C" w:rsidRDefault="000B168C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</w:pP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Сравнительная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таблица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по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предоставлению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жилых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помещений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детям-сиротам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и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детям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,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оставшихся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без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попечения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родителей</w:t>
      </w:r>
      <w:proofErr w:type="spellEnd"/>
    </w:p>
    <w:p w:rsidR="000B168C" w:rsidRPr="008B4C8C" w:rsidRDefault="000B168C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645"/>
        <w:gridCol w:w="1315"/>
        <w:gridCol w:w="1973"/>
      </w:tblGrid>
      <w:tr w:rsidR="000B168C" w:rsidRPr="008B4C8C" w:rsidTr="008B4C8C">
        <w:trPr>
          <w:jc w:val="center"/>
        </w:trPr>
        <w:tc>
          <w:tcPr>
            <w:tcW w:w="1572" w:type="pct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143" w:type="pct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2016 г.</w:t>
            </w:r>
          </w:p>
        </w:tc>
        <w:tc>
          <w:tcPr>
            <w:tcW w:w="914" w:type="pct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2017 г.</w:t>
            </w:r>
          </w:p>
        </w:tc>
        <w:tc>
          <w:tcPr>
            <w:tcW w:w="1371" w:type="pct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2018г.</w:t>
            </w:r>
          </w:p>
        </w:tc>
      </w:tr>
      <w:tr w:rsidR="000B168C" w:rsidRPr="008B4C8C" w:rsidTr="008B4C8C">
        <w:trPr>
          <w:jc w:val="center"/>
        </w:trPr>
        <w:tc>
          <w:tcPr>
            <w:tcW w:w="1572" w:type="pct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Количество</w:t>
            </w:r>
            <w:proofErr w:type="spellEnd"/>
          </w:p>
        </w:tc>
        <w:tc>
          <w:tcPr>
            <w:tcW w:w="1143" w:type="pct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</w:t>
            </w:r>
          </w:p>
        </w:tc>
        <w:tc>
          <w:tcPr>
            <w:tcW w:w="914" w:type="pct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4</w:t>
            </w:r>
          </w:p>
        </w:tc>
        <w:tc>
          <w:tcPr>
            <w:tcW w:w="1371" w:type="pct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</w:t>
            </w:r>
          </w:p>
        </w:tc>
      </w:tr>
      <w:tr w:rsidR="000B168C" w:rsidRPr="008B4C8C" w:rsidTr="008B4C8C">
        <w:trPr>
          <w:jc w:val="center"/>
        </w:trPr>
        <w:tc>
          <w:tcPr>
            <w:tcW w:w="1572" w:type="pct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Финансовые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средства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тыс.руб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.)</w:t>
            </w:r>
          </w:p>
        </w:tc>
        <w:tc>
          <w:tcPr>
            <w:tcW w:w="1143" w:type="pct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1185</w:t>
            </w:r>
          </w:p>
        </w:tc>
        <w:tc>
          <w:tcPr>
            <w:tcW w:w="914" w:type="pct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2435</w:t>
            </w:r>
          </w:p>
        </w:tc>
        <w:tc>
          <w:tcPr>
            <w:tcW w:w="1371" w:type="pct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1231</w:t>
            </w:r>
          </w:p>
        </w:tc>
      </w:tr>
    </w:tbl>
    <w:p w:rsidR="000B168C" w:rsidRPr="008B4C8C" w:rsidRDefault="000B168C" w:rsidP="00BF4CB9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8B4C8C">
        <w:rPr>
          <w:rFonts w:ascii="Times New Roman" w:eastAsia="Calibri" w:hAnsi="Times New Roman" w:cs="Times New Roman"/>
          <w:sz w:val="18"/>
          <w:szCs w:val="18"/>
        </w:rPr>
        <w:tab/>
      </w:r>
      <w:r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В соответствии с Указом Президента РФ «Об обеспечении жильем ветеранов Великой Отечественной войны 1941-1945 годов» за счет средств федерального бюджета единовременные денежные выплаты на приобретение жилого помещения </w:t>
      </w: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>предоставлены вдове участника ВОВ.</w:t>
      </w:r>
      <w:r w:rsidRPr="008B4C8C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</w:p>
    <w:p w:rsidR="000B168C" w:rsidRPr="008B4C8C" w:rsidRDefault="000B168C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</w:pP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Сравнительная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таблица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по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единовременной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денежной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выплате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на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приобретение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жилого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помещения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ветерана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ВОВ</w:t>
      </w:r>
    </w:p>
    <w:p w:rsidR="000B168C" w:rsidRPr="008B4C8C" w:rsidRDefault="000B168C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contextualSpacing/>
        <w:textAlignment w:val="baseline"/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694"/>
        <w:gridCol w:w="1784"/>
        <w:gridCol w:w="1685"/>
      </w:tblGrid>
      <w:tr w:rsidR="000B168C" w:rsidRPr="008B4C8C" w:rsidTr="00702304">
        <w:tc>
          <w:tcPr>
            <w:tcW w:w="2357" w:type="dxa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2349" w:type="dxa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2016 г.</w:t>
            </w:r>
          </w:p>
        </w:tc>
        <w:tc>
          <w:tcPr>
            <w:tcW w:w="2385" w:type="dxa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2017 г.</w:t>
            </w:r>
          </w:p>
        </w:tc>
        <w:tc>
          <w:tcPr>
            <w:tcW w:w="2265" w:type="dxa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2018г.</w:t>
            </w:r>
          </w:p>
        </w:tc>
      </w:tr>
      <w:tr w:rsidR="000B168C" w:rsidRPr="008B4C8C" w:rsidTr="00702304">
        <w:tc>
          <w:tcPr>
            <w:tcW w:w="2357" w:type="dxa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Количество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ветеранов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 xml:space="preserve"> ВОВ</w:t>
            </w:r>
          </w:p>
        </w:tc>
        <w:tc>
          <w:tcPr>
            <w:tcW w:w="2349" w:type="dxa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14</w:t>
            </w:r>
          </w:p>
        </w:tc>
        <w:tc>
          <w:tcPr>
            <w:tcW w:w="2385" w:type="dxa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</w:t>
            </w:r>
          </w:p>
        </w:tc>
        <w:tc>
          <w:tcPr>
            <w:tcW w:w="2265" w:type="dxa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1</w:t>
            </w:r>
          </w:p>
        </w:tc>
      </w:tr>
      <w:tr w:rsidR="000B168C" w:rsidRPr="008B4C8C" w:rsidTr="00702304">
        <w:tc>
          <w:tcPr>
            <w:tcW w:w="2357" w:type="dxa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Финансовые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средства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тыс.руб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.)</w:t>
            </w:r>
          </w:p>
        </w:tc>
        <w:tc>
          <w:tcPr>
            <w:tcW w:w="2349" w:type="dxa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16</w:t>
            </w: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ja-JP" w:bidi="fa-IR"/>
              </w:rPr>
              <w:t xml:space="preserve"> </w:t>
            </w: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152</w:t>
            </w:r>
          </w:p>
        </w:tc>
        <w:tc>
          <w:tcPr>
            <w:tcW w:w="2385" w:type="dxa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2 181,5</w:t>
            </w:r>
          </w:p>
        </w:tc>
        <w:tc>
          <w:tcPr>
            <w:tcW w:w="2265" w:type="dxa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1</w:t>
            </w: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ja-JP" w:bidi="fa-IR"/>
              </w:rPr>
              <w:t xml:space="preserve"> </w:t>
            </w: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104,</w:t>
            </w: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ja-JP" w:bidi="fa-IR"/>
              </w:rPr>
              <w:t>8</w:t>
            </w:r>
          </w:p>
        </w:tc>
      </w:tr>
    </w:tbl>
    <w:p w:rsidR="000B168C" w:rsidRPr="008B4C8C" w:rsidRDefault="000B168C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</w:pP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настоящее время в помощи нуждаются еще три вдовы участников ВОВ. 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В прошедшем году продолжилась реализация программ «Обеспечение жильем молодых семей» и «Муниципальная поддержка граждан в сфере ипотечного жилищного кредитования». Финансовые средства были выделены из федерального, областного и местного бюджетов в объеме 1 млн. 181 тыс. руб. на первую программу и 945 тыс. руб. на вторую.  Пять семей улучшили свои жилищные условия благодаря реализации вышеупомянутых программ.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B168C" w:rsidRPr="008B4C8C" w:rsidRDefault="000B168C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</w:pP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Сравнительная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таблица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по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программе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«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Обеспечение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жильем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молодых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семей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»</w:t>
      </w:r>
    </w:p>
    <w:p w:rsidR="000B168C" w:rsidRPr="008B4C8C" w:rsidRDefault="000B168C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contextualSpacing/>
        <w:textAlignment w:val="baseline"/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503"/>
        <w:gridCol w:w="1736"/>
        <w:gridCol w:w="1702"/>
      </w:tblGrid>
      <w:tr w:rsidR="000B168C" w:rsidRPr="008B4C8C" w:rsidTr="00702304">
        <w:tc>
          <w:tcPr>
            <w:tcW w:w="2690" w:type="dxa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0B168C" w:rsidRPr="008B4C8C" w:rsidRDefault="000B168C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2016 г.</w:t>
            </w:r>
          </w:p>
        </w:tc>
        <w:tc>
          <w:tcPr>
            <w:tcW w:w="2366" w:type="dxa"/>
            <w:shd w:val="clear" w:color="auto" w:fill="auto"/>
          </w:tcPr>
          <w:p w:rsidR="000B168C" w:rsidRPr="008B4C8C" w:rsidRDefault="000B168C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2017 г.</w:t>
            </w:r>
          </w:p>
        </w:tc>
        <w:tc>
          <w:tcPr>
            <w:tcW w:w="2272" w:type="dxa"/>
          </w:tcPr>
          <w:p w:rsidR="000B168C" w:rsidRPr="008B4C8C" w:rsidRDefault="000B168C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2018г.</w:t>
            </w:r>
          </w:p>
        </w:tc>
      </w:tr>
      <w:tr w:rsidR="000B168C" w:rsidRPr="008B4C8C" w:rsidTr="00702304">
        <w:tc>
          <w:tcPr>
            <w:tcW w:w="2690" w:type="dxa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Количество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семей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0</w:t>
            </w:r>
          </w:p>
        </w:tc>
        <w:tc>
          <w:tcPr>
            <w:tcW w:w="2366" w:type="dxa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</w:t>
            </w:r>
          </w:p>
        </w:tc>
        <w:tc>
          <w:tcPr>
            <w:tcW w:w="2272" w:type="dxa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</w:t>
            </w:r>
          </w:p>
        </w:tc>
      </w:tr>
      <w:tr w:rsidR="000B168C" w:rsidRPr="008B4C8C" w:rsidTr="00702304">
        <w:trPr>
          <w:trHeight w:val="557"/>
        </w:trPr>
        <w:tc>
          <w:tcPr>
            <w:tcW w:w="2690" w:type="dxa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ja-JP" w:bidi="fa-IR"/>
              </w:rPr>
            </w:pP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Финансовые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средства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тыс.руб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.)</w:t>
            </w:r>
          </w:p>
        </w:tc>
        <w:tc>
          <w:tcPr>
            <w:tcW w:w="2028" w:type="dxa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</w:p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0</w:t>
            </w:r>
          </w:p>
        </w:tc>
        <w:tc>
          <w:tcPr>
            <w:tcW w:w="2366" w:type="dxa"/>
            <w:shd w:val="clear" w:color="auto" w:fill="auto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</w:p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1 219</w:t>
            </w:r>
          </w:p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2272" w:type="dxa"/>
          </w:tcPr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</w:p>
          <w:p w:rsidR="000B168C" w:rsidRPr="008B4C8C" w:rsidRDefault="000B168C" w:rsidP="00BF4CB9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1181</w:t>
            </w:r>
          </w:p>
        </w:tc>
      </w:tr>
    </w:tbl>
    <w:p w:rsidR="000B168C" w:rsidRPr="008B4C8C" w:rsidRDefault="000B168C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</w:pPr>
    </w:p>
    <w:p w:rsidR="000B168C" w:rsidRPr="008B4C8C" w:rsidRDefault="000B168C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</w:pP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lastRenderedPageBreak/>
        <w:t>Сравнительная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таблица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по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программе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«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Муниципальная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поддержка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граждан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в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сфере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ипотечного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жилищного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кредитования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  <w:t>»</w:t>
      </w:r>
    </w:p>
    <w:p w:rsidR="000B168C" w:rsidRPr="008B4C8C" w:rsidRDefault="000B168C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716"/>
        <w:gridCol w:w="1736"/>
        <w:gridCol w:w="1768"/>
      </w:tblGrid>
      <w:tr w:rsidR="000B168C" w:rsidRPr="008B4C8C" w:rsidTr="00BF4CB9">
        <w:tc>
          <w:tcPr>
            <w:tcW w:w="2569" w:type="dxa"/>
            <w:shd w:val="clear" w:color="auto" w:fill="auto"/>
          </w:tcPr>
          <w:p w:rsidR="000B168C" w:rsidRPr="008B4C8C" w:rsidRDefault="000B168C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2570" w:type="dxa"/>
            <w:shd w:val="clear" w:color="auto" w:fill="auto"/>
          </w:tcPr>
          <w:p w:rsidR="000B168C" w:rsidRPr="008B4C8C" w:rsidRDefault="000B168C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2016 г.</w:t>
            </w:r>
          </w:p>
        </w:tc>
        <w:tc>
          <w:tcPr>
            <w:tcW w:w="2571" w:type="dxa"/>
            <w:shd w:val="clear" w:color="auto" w:fill="auto"/>
          </w:tcPr>
          <w:p w:rsidR="000B168C" w:rsidRPr="008B4C8C" w:rsidRDefault="000B168C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2017 г.</w:t>
            </w:r>
          </w:p>
        </w:tc>
        <w:tc>
          <w:tcPr>
            <w:tcW w:w="2571" w:type="dxa"/>
          </w:tcPr>
          <w:p w:rsidR="000B168C" w:rsidRPr="008B4C8C" w:rsidRDefault="000B168C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2018г.</w:t>
            </w:r>
          </w:p>
        </w:tc>
      </w:tr>
      <w:tr w:rsidR="000B168C" w:rsidRPr="008B4C8C" w:rsidTr="00BF4CB9">
        <w:tc>
          <w:tcPr>
            <w:tcW w:w="2569" w:type="dxa"/>
            <w:shd w:val="clear" w:color="auto" w:fill="auto"/>
          </w:tcPr>
          <w:p w:rsidR="000B168C" w:rsidRPr="008B4C8C" w:rsidRDefault="000B168C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Количество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семей</w:t>
            </w:r>
            <w:proofErr w:type="spellEnd"/>
          </w:p>
        </w:tc>
        <w:tc>
          <w:tcPr>
            <w:tcW w:w="2570" w:type="dxa"/>
            <w:shd w:val="clear" w:color="auto" w:fill="auto"/>
          </w:tcPr>
          <w:p w:rsidR="000B168C" w:rsidRPr="008B4C8C" w:rsidRDefault="000B168C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0</w:t>
            </w:r>
          </w:p>
        </w:tc>
        <w:tc>
          <w:tcPr>
            <w:tcW w:w="2571" w:type="dxa"/>
            <w:shd w:val="clear" w:color="auto" w:fill="auto"/>
          </w:tcPr>
          <w:p w:rsidR="000B168C" w:rsidRPr="008B4C8C" w:rsidRDefault="000B168C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4</w:t>
            </w:r>
          </w:p>
        </w:tc>
        <w:tc>
          <w:tcPr>
            <w:tcW w:w="2571" w:type="dxa"/>
          </w:tcPr>
          <w:p w:rsidR="000B168C" w:rsidRPr="008B4C8C" w:rsidRDefault="000B168C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3</w:t>
            </w:r>
          </w:p>
        </w:tc>
      </w:tr>
      <w:tr w:rsidR="000B168C" w:rsidRPr="008B4C8C" w:rsidTr="00702304">
        <w:trPr>
          <w:trHeight w:val="1158"/>
        </w:trPr>
        <w:tc>
          <w:tcPr>
            <w:tcW w:w="2569" w:type="dxa"/>
            <w:shd w:val="clear" w:color="auto" w:fill="auto"/>
          </w:tcPr>
          <w:p w:rsidR="000B168C" w:rsidRPr="008B4C8C" w:rsidRDefault="000B168C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ja-JP" w:bidi="fa-IR"/>
              </w:rPr>
            </w:pP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Финансовые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средства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тыс.руб</w:t>
            </w:r>
            <w:proofErr w:type="spellEnd"/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.)</w:t>
            </w:r>
          </w:p>
        </w:tc>
        <w:tc>
          <w:tcPr>
            <w:tcW w:w="2570" w:type="dxa"/>
            <w:shd w:val="clear" w:color="auto" w:fill="auto"/>
          </w:tcPr>
          <w:p w:rsidR="00702304" w:rsidRPr="008B4C8C" w:rsidRDefault="00702304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ja-JP" w:bidi="fa-IR"/>
              </w:rPr>
            </w:pPr>
          </w:p>
          <w:p w:rsidR="000B168C" w:rsidRPr="008B4C8C" w:rsidRDefault="000B168C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0</w:t>
            </w:r>
          </w:p>
          <w:p w:rsidR="000B168C" w:rsidRPr="008B4C8C" w:rsidRDefault="000B168C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2571" w:type="dxa"/>
            <w:shd w:val="clear" w:color="auto" w:fill="auto"/>
          </w:tcPr>
          <w:p w:rsidR="000B168C" w:rsidRPr="008B4C8C" w:rsidRDefault="000B168C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</w:p>
          <w:p w:rsidR="000B168C" w:rsidRPr="008B4C8C" w:rsidRDefault="000B168C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1 451</w:t>
            </w:r>
          </w:p>
          <w:p w:rsidR="000B168C" w:rsidRPr="008B4C8C" w:rsidRDefault="000B168C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2571" w:type="dxa"/>
          </w:tcPr>
          <w:p w:rsidR="000B168C" w:rsidRPr="008B4C8C" w:rsidRDefault="000B168C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</w:pPr>
          </w:p>
          <w:p w:rsidR="000B168C" w:rsidRPr="008B4C8C" w:rsidRDefault="000B168C" w:rsidP="00702304">
            <w:pPr>
              <w:widowControl w:val="0"/>
              <w:shd w:val="clear" w:color="auto" w:fill="FFFFFF"/>
              <w:tabs>
                <w:tab w:val="left" w:pos="-669"/>
              </w:tabs>
              <w:suppressAutoHyphens/>
              <w:spacing w:after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ja-JP" w:bidi="fa-IR"/>
              </w:rPr>
            </w:pP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val="de-DE" w:eastAsia="ja-JP" w:bidi="fa-IR"/>
              </w:rPr>
              <w:t>94</w:t>
            </w:r>
            <w:r w:rsidRPr="008B4C8C">
              <w:rPr>
                <w:rFonts w:ascii="Times New Roman" w:eastAsia="Calibri" w:hAnsi="Times New Roman" w:cs="Times New Roman"/>
                <w:sz w:val="18"/>
                <w:szCs w:val="18"/>
                <w:lang w:eastAsia="ja-JP" w:bidi="fa-IR"/>
              </w:rPr>
              <w:t>2,4</w:t>
            </w:r>
          </w:p>
        </w:tc>
      </w:tr>
    </w:tbl>
    <w:p w:rsidR="000B168C" w:rsidRPr="008B4C8C" w:rsidRDefault="000B168C" w:rsidP="00BF4CB9">
      <w:pPr>
        <w:widowControl w:val="0"/>
        <w:shd w:val="clear" w:color="auto" w:fill="FFFFFF"/>
        <w:tabs>
          <w:tab w:val="left" w:pos="-669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de-DE" w:eastAsia="ja-JP" w:bidi="fa-IR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ab/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>За 2018 год в установленном порядке подготовлено и выдано 67 Разрешений на строительство (продлений разрешений) объектов капитального строительства  (</w:t>
      </w:r>
      <w:proofErr w:type="spellStart"/>
      <w:r w:rsidR="005D7985"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>с</w:t>
      </w:r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>правочно</w:t>
      </w:r>
      <w:proofErr w:type="spellEnd"/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>: в 2017 г. – 81). Уменьшение количества выданных разрешений связано с тем, что с сентября 2018 года вместо разрешения на строительство выдается Уведомление о соответствии указанных в уведомлении параметров и допустимости размещения объекта ИЖС или садового дома на земельном участке. За сентябрь-декабрь 2018 года подготовлено и выдано 28 таких Уведомлений.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>За 2018 год было подготовлено и выдано 8 Разрешений на ввод объектов капитального строительства</w:t>
      </w:r>
      <w:r w:rsidR="005D7985"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 xml:space="preserve"> (реконструкции) в эксплуатацию</w:t>
      </w:r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 xml:space="preserve"> общей стоимостью введенных объектов - 22,60 млн. руб., и 12 Уведомлений  о соответствии построенного или реконструированн</w:t>
      </w:r>
      <w:r w:rsidR="005D7985"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>ого</w:t>
      </w:r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 xml:space="preserve"> объекта ИЖС требованиям законодательства о градостроительной деятельности. 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 xml:space="preserve">Правительством Ивановской области был утвержден плановый показатель минимального ввода жилья – 1500 </w:t>
      </w:r>
      <w:proofErr w:type="spellStart"/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>кв.м</w:t>
      </w:r>
      <w:proofErr w:type="spellEnd"/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>. За  2018 год на территории города обеспечен ввод 13 индивидуальных жилых домов, а также пристро</w:t>
      </w:r>
      <w:r w:rsidR="005D7985"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>ек и надстроек ИЖС</w:t>
      </w:r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 xml:space="preserve"> общей площадью 2943,9 </w:t>
      </w:r>
      <w:proofErr w:type="spellStart"/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>кв.м</w:t>
      </w:r>
      <w:proofErr w:type="spellEnd"/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>., что составляет 196% от планового показателя</w:t>
      </w:r>
      <w:proofErr w:type="gramStart"/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>.</w:t>
      </w:r>
      <w:proofErr w:type="gramEnd"/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 xml:space="preserve"> (</w:t>
      </w:r>
      <w:proofErr w:type="spellStart"/>
      <w:proofErr w:type="gramStart"/>
      <w:r w:rsidR="005D7985"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>с</w:t>
      </w:r>
      <w:proofErr w:type="gramEnd"/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>правочно</w:t>
      </w:r>
      <w:proofErr w:type="spellEnd"/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 xml:space="preserve">: в 2017 г. – 1820,9 </w:t>
      </w:r>
      <w:proofErr w:type="spellStart"/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>кв.м</w:t>
      </w:r>
      <w:proofErr w:type="spellEnd"/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 xml:space="preserve">). </w:t>
      </w:r>
    </w:p>
    <w:p w:rsidR="000B168C" w:rsidRPr="008B4C8C" w:rsidRDefault="000B168C" w:rsidP="00BF4CB9">
      <w:pPr>
        <w:widowControl w:val="0"/>
        <w:suppressAutoHyphens/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bidi="fa-IR"/>
        </w:rPr>
      </w:pP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Развитие системы образования</w:t>
      </w: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 xml:space="preserve"> в 2018 году оставалось приоритетным направлением деятельности администрации города. Особое внимание уделялось вопросам увеличения зарплаты педагогическим работникам.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>Средняя заработная плата учителей общеобразовательных школ в 2018 году составила 20 952,30 руб. (в 2017 году - 20 424 руб.)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>Средняя заработная плата педагогических работников детских садов составила 19 006,70 руб. (в 2017 году - 16 976, 5 руб.);</w:t>
      </w:r>
    </w:p>
    <w:p w:rsidR="000B168C" w:rsidRPr="008B4C8C" w:rsidRDefault="005D7985" w:rsidP="0070230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>Средняя зарплата п</w:t>
      </w:r>
      <w:r w:rsidR="000B168C"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 xml:space="preserve">едагогов дополнительного образования – 22 403,70 руб. (в 2017 году -20 995,8 руб.) 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 xml:space="preserve">В общем образовании </w:t>
      </w:r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 xml:space="preserve">в 2018 году 78,7% обучающихся занимались по федеральным государственным образовательным стандартам, в том числе </w:t>
      </w: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>100% учащихся начальных классов.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 xml:space="preserve">Внедрялось инклюзивное образование. В 2017/18 учебном году в школах города обучалось 37 детей-инвалидов, 4 ребенка со статусом ОВЗ, 7 детей - инвалидов обучалось на дому. В школах для детей-инвалидов, </w:t>
      </w:r>
      <w:r w:rsidR="005D7985"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 xml:space="preserve">являющихся </w:t>
      </w: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>выпускник</w:t>
      </w:r>
      <w:r w:rsidR="005D7985"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>ами</w:t>
      </w: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 xml:space="preserve"> 9-х и 11-х классов, </w:t>
      </w: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lastRenderedPageBreak/>
        <w:t>итоговая аттестация проводилась в условиях, отвечающих физиологическим особенностям и состоянию здоровья выпускников.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>В государственной итоговой аттестации в форме ЕГЭ приняли участие 135 выпускников 11</w:t>
      </w:r>
      <w:r w:rsidR="005D7985"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>-х</w:t>
      </w: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 xml:space="preserve"> классов. Все учащиеся успешно прошли ЕГЭ. 12 человек по результатам сдачи ЕГЭ показали результат выше 90 баллов, что на уровне 2017 года.  40 выпускников (29,6%) получили от 80 до 100 баллов (в 2017 году – 35 чел. -25,5%). 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>18 выпускников 11</w:t>
      </w:r>
      <w:r w:rsidR="005D7985"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>-х</w:t>
      </w: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 xml:space="preserve"> классов, награжденных медалью «За особые успехи в учении», подтвердили звание «медалиста» на государственной итоговой аттестации.</w:t>
      </w:r>
    </w:p>
    <w:p w:rsidR="000B168C" w:rsidRPr="008B4C8C" w:rsidRDefault="000B168C" w:rsidP="007023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 xml:space="preserve">Что касается дошкольного образования, то сохранены 4 группы оздоровительной направленности и 3 группы компенсирующей направленности для детей с нарушениями речевого развития. Для оказания помощи родителям в вопросах воспитания детей, не посещающих дошкольные учреждения, в 6 детских садах функционируют вариативные формы дошкольного образования - консультативные пункты, мини детский центр и центр игровой поддержки.                                                                                                                                                                                         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 w:rsidR="00702304"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ab/>
      </w: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 xml:space="preserve">Указ Президента России по обеспечению стопроцентной доступности дошкольного образования детям от 3 до 7 лет в нашем городе выполнен. За счет внутренних резервов учреждений образования до 11 человек сократилось число детей в возрасте от 1 года до 3 лет, ожидающих очереди в дошкольные образовательные учреждения (в 2017 году – 50 чел.) С 01.09.2018 ликвидирована очередь по устройству детей в возрасте до 3-х лет в детские сады № 28,30. В числе главных задач в этой сфере - обеспечение местами всех детей  от 2 месяцев до 3 лет. 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>Несмотря на условия ограниченного финансирования, в образовательных организациях проведены ремонтные работы на общую сумму 6 млн. 320,5 тыс. рублей.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>В школах №6, 11 и 13 и детских садах №5, 28 выполнены работы по ремонту цоколя, кирпичной кладки и фасадов. Частичный ремонт кровли выполнен в школах №9, 11, 13 и 17 и в детских садах № 4,16,25,28,29,30,31. В школах №9, 10, 11 и 17, а также в МБДОУ № 5,8,25 выполнены ремонтные работы внутренних помещений зданий. Ремонт сетей канализации, водоснабжения, отопления выполнен в дошкольных образовательных учреждениях №5, 8,16,24,25,28,30.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>На подготовк</w:t>
      </w:r>
      <w:r w:rsidR="004C4D96"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>у</w:t>
      </w: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 xml:space="preserve"> к летней оздоровительной кампании в ОЗЛ им. Ю.А. Гагарина была выделена сумма в размере </w:t>
      </w:r>
      <w:r w:rsidR="004C4D96"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>2 млн.</w:t>
      </w: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 xml:space="preserve"> руб.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 xml:space="preserve">В текущем году по-прежнему остро стоит вопрос подготовки образовательных учреждений к новому учебному году. Некоторые учреждения образования требуют капитального ремонта. Этот вопрос остается одним из приоритетных в деятельности администрации. 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 xml:space="preserve">Так, в 2019 году планируется разработка ПСД на капитальный ремонт здания детского сада № 8. 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>В школах № 11, 13, 17 необходим капитальный ремонт кровель. Также в школе № 13 требуется капитальный ремонт спортивного зала, замена коммуникаций, частичная замена системы освещения, косметический ремонт кабинетов и библиотеки.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 xml:space="preserve">Потребность финансирования на разработку проектно-сметной документации на капитальный ремонт СОШ № 13 составляет порядка 900 тыс. руб. </w:t>
      </w:r>
      <w:r w:rsidR="005D7985"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>И одной</w:t>
      </w:r>
      <w:r w:rsidRPr="008B4C8C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en-US"/>
        </w:rPr>
        <w:t xml:space="preserve"> из задач, стоящих перед нами, является изыскание необходимых финансовых средств. 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lastRenderedPageBreak/>
        <w:t>В 2019 году планируется выполнение работ кровли пищеблока, столовой и спортивного зала МБОУ № 11. В настоящее время подготовлена сметная документация, на которую получено положительное заключение гос. экспертизы. Стоимость работ составит порядка 1 млн. 800 тыс. руб.</w:t>
      </w:r>
    </w:p>
    <w:p w:rsidR="000B168C" w:rsidRPr="008B4C8C" w:rsidRDefault="000B168C" w:rsidP="00BF4CB9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 xml:space="preserve">        В школе № 6 планируется капитальный ремонт коридора первого этажа с заменой коммуникаций и ремонт фасада с заменой окон.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</w:pPr>
      <w:r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>Дополнительным образованием в городе охвачено более четырех тысяч детей, в том числе в сфере образования 2 700 чел., в сфере культуры – 415 чел., в сфер</w:t>
      </w:r>
      <w:r w:rsidR="005D7985" w:rsidRPr="008B4C8C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en-US"/>
        </w:rPr>
        <w:t>е спорта – 948 человек. Н</w:t>
      </w:r>
      <w:r w:rsidRPr="008B4C8C">
        <w:rPr>
          <w:rFonts w:ascii="Times New Roman" w:eastAsia="Calibri" w:hAnsi="Times New Roman" w:cs="Times New Roman"/>
          <w:sz w:val="18"/>
          <w:szCs w:val="18"/>
        </w:rPr>
        <w:t xml:space="preserve">есмотря на серьезную нагрузку для бюджета, дополнительное образование в нашем городе продолжает оставаться для детей бесплатным. 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Как и прежде</w:t>
      </w:r>
      <w:r w:rsidR="005D7985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,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особое внимание уделено организации летнего отдыха, оздоровления и занятости детей. В лагерях дневного пребывания на базе общеобразовательных школ города в период летней оздоровительной кампании 2018 года отдохнули 365 человек, из них 62 ребенка из семей, находящихся в трудной жизненной ситуации. </w:t>
      </w:r>
    </w:p>
    <w:p w:rsidR="000B168C" w:rsidRPr="008B4C8C" w:rsidRDefault="000B168C" w:rsidP="00702304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ОЗЛ им. Ю.А. Гагарина отдых детей вновь был организован в три смены. В лагере отдохнуло 410 детей, их них 243 ребенка из семей, находящихся в трудной жизненной ситуации, а также приобретено 10 путевок для организации отдыха одаренных детей (отряд «Калейдоскоп»). </w:t>
      </w:r>
    </w:p>
    <w:p w:rsidR="000B168C" w:rsidRPr="008B4C8C" w:rsidRDefault="000B168C" w:rsidP="00BF4CB9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Одной из основных задач, стоящих перед системой образования города в целом, является участие образовательных организаций в существующих региональных проектах и дальнейшее внедрение федеральных образовательных стандартов.</w:t>
      </w:r>
    </w:p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реализацию </w:t>
      </w:r>
      <w:r w:rsidRPr="008B4C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молодежной политики </w:t>
      </w:r>
      <w:r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2018 году из городского бюджета было выделено </w:t>
      </w:r>
      <w:r w:rsidR="004C4D96"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>150</w:t>
      </w:r>
      <w:r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тыс. руб.</w:t>
      </w:r>
    </w:p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>На базе администрации города и всех образовательных организаций города созданы и функционируют объединения патриотической и волонтерской направленности: </w:t>
      </w:r>
      <w:proofErr w:type="gramStart"/>
      <w:r w:rsidR="00702304" w:rsidRPr="008B4C8C">
        <w:rPr>
          <w:rFonts w:ascii="Times New Roman" w:eastAsia="Times New Roman" w:hAnsi="Times New Roman" w:cs="Times New Roman"/>
          <w:sz w:val="18"/>
          <w:szCs w:val="18"/>
        </w:rPr>
        <w:t xml:space="preserve">ВОД 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>"Волонтеры Победы", Совет активной молодежи,  РДШ (Российское движение школьников), объединение</w:t>
      </w:r>
      <w:r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> «Данко», военно-спортивный клуб «Арсенал», молодежный клуб «Лидер», Детский  общественный совет, волонт</w:t>
      </w:r>
      <w:r w:rsidR="005D7985"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ерские отряды "Волонтеры ВМК", "Студенты </w:t>
      </w:r>
      <w:proofErr w:type="spellStart"/>
      <w:r w:rsidR="005D7985"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>Политеха</w:t>
      </w:r>
      <w:proofErr w:type="spellEnd"/>
      <w:r w:rsidR="005D7985"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" и </w:t>
      </w:r>
      <w:r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>др. </w:t>
      </w:r>
      <w:proofErr w:type="gramEnd"/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>2018 год был назван Годом волонтера. Силами ребят за этот год проведено множество мероприятий самой разной направленности с участием более 200 волонтеров. По итогам 2018 года был проведен первый городской форум волонтерских организаций и инициатив "Я - волонтер", в котором приняли участие 17 волонтерских отрядов города и района.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>На 2019 год приоритетны</w:t>
      </w:r>
      <w:r w:rsidR="005D7985"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направления</w:t>
      </w:r>
      <w:r w:rsidR="005D7985"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молодежной политики</w:t>
      </w:r>
      <w:r w:rsidR="005D7985"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являются патриотическое воспитание,</w:t>
      </w:r>
      <w:r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профил</w:t>
      </w:r>
      <w:r w:rsidR="005D7985"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>актика алкоголизма и наркомании,</w:t>
      </w:r>
      <w:r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создание клубов молодых семей. 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На территории города функционирует </w:t>
      </w:r>
      <w:r w:rsidRPr="008B4C8C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широкая сеть учреждений культуры</w:t>
      </w:r>
      <w:r w:rsidRPr="008B4C8C">
        <w:rPr>
          <w:rFonts w:ascii="Times New Roman" w:eastAsia="Times New Roman" w:hAnsi="Times New Roman" w:cs="Times New Roman"/>
          <w:sz w:val="18"/>
          <w:szCs w:val="18"/>
          <w:lang w:eastAsia="en-US"/>
        </w:rPr>
        <w:t>, в котор</w:t>
      </w:r>
      <w:r w:rsidR="005D7985" w:rsidRPr="008B4C8C">
        <w:rPr>
          <w:rFonts w:ascii="Times New Roman" w:eastAsia="Times New Roman" w:hAnsi="Times New Roman" w:cs="Times New Roman"/>
          <w:sz w:val="18"/>
          <w:szCs w:val="18"/>
          <w:lang w:eastAsia="en-US"/>
        </w:rPr>
        <w:t>ых</w:t>
      </w:r>
      <w:r w:rsidRPr="008B4C8C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работает 109 человек. Средняя заработная плата в сфере культуры  в 2018 году составила:</w:t>
      </w:r>
    </w:p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>-</w:t>
      </w:r>
      <w:r w:rsidR="001F3423" w:rsidRPr="008B4C8C">
        <w:rPr>
          <w:rFonts w:ascii="Times New Roman" w:eastAsia="Times New Roman" w:hAnsi="Times New Roman" w:cs="Times New Roman"/>
          <w:bCs/>
          <w:sz w:val="18"/>
          <w:szCs w:val="18"/>
        </w:rPr>
        <w:t>в</w:t>
      </w:r>
      <w:r w:rsidRPr="008B4C8C">
        <w:rPr>
          <w:rFonts w:ascii="Times New Roman" w:eastAsia="Times New Roman" w:hAnsi="Times New Roman" w:cs="Times New Roman"/>
          <w:bCs/>
          <w:sz w:val="18"/>
          <w:szCs w:val="18"/>
        </w:rPr>
        <w:t xml:space="preserve"> учреждения</w:t>
      </w:r>
      <w:r w:rsidR="001F3423" w:rsidRPr="008B4C8C">
        <w:rPr>
          <w:rFonts w:ascii="Times New Roman" w:eastAsia="Times New Roman" w:hAnsi="Times New Roman" w:cs="Times New Roman"/>
          <w:bCs/>
          <w:sz w:val="18"/>
          <w:szCs w:val="18"/>
        </w:rPr>
        <w:t>х</w:t>
      </w:r>
      <w:r w:rsidRPr="008B4C8C">
        <w:rPr>
          <w:rFonts w:ascii="Times New Roman" w:eastAsia="Times New Roman" w:hAnsi="Times New Roman" w:cs="Times New Roman"/>
          <w:bCs/>
          <w:sz w:val="18"/>
          <w:szCs w:val="18"/>
        </w:rPr>
        <w:t xml:space="preserve"> культуры –  20 321,7 руб. В сравнении с 2017 годом (16145,5 руб.) средняя заработная плата увеличилась на 25, 9 %; </w:t>
      </w:r>
    </w:p>
    <w:p w:rsidR="000B168C" w:rsidRPr="008B4C8C" w:rsidRDefault="001F3423" w:rsidP="001F3423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8B4C8C">
        <w:rPr>
          <w:rFonts w:ascii="Times New Roman" w:eastAsia="Times New Roman" w:hAnsi="Times New Roman" w:cs="Times New Roman"/>
          <w:bCs/>
          <w:sz w:val="18"/>
          <w:szCs w:val="18"/>
        </w:rPr>
        <w:t xml:space="preserve">- </w:t>
      </w:r>
      <w:r w:rsidRPr="008B4C8C">
        <w:rPr>
          <w:rFonts w:ascii="Times New Roman" w:eastAsia="Times New Roman" w:hAnsi="Times New Roman"/>
          <w:bCs/>
          <w:sz w:val="18"/>
          <w:szCs w:val="18"/>
        </w:rPr>
        <w:t>в учреждениях дополнительного образования  -</w:t>
      </w:r>
      <w:r w:rsidR="000B168C" w:rsidRPr="008B4C8C">
        <w:rPr>
          <w:rFonts w:ascii="Times New Roman" w:eastAsia="Times New Roman" w:hAnsi="Times New Roman" w:cs="Times New Roman"/>
          <w:bCs/>
          <w:sz w:val="18"/>
          <w:szCs w:val="18"/>
        </w:rPr>
        <w:t>21828,6 руб., что на 1,2% больше по сравнению с  2017 годом</w:t>
      </w:r>
      <w:r w:rsidR="000B168C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0B168C" w:rsidRPr="008B4C8C" w:rsidRDefault="00702304" w:rsidP="00BF4CB9">
      <w:pPr>
        <w:tabs>
          <w:tab w:val="left" w:pos="-1066"/>
        </w:tabs>
        <w:suppressAutoHyphens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="000B168C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2018 году на развитие культуры городского округа Вичуга было направлено 43,8 млн. руб. 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C8C">
        <w:rPr>
          <w:rFonts w:ascii="Times New Roman" w:eastAsia="Times New Roman" w:hAnsi="Times New Roman" w:cs="Times New Roman"/>
          <w:sz w:val="18"/>
          <w:szCs w:val="18"/>
        </w:rPr>
        <w:t>Деятельность учреждений культуры, приносящ</w:t>
      </w:r>
      <w:r w:rsidR="005D7985" w:rsidRPr="008B4C8C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 доход от платных услуг, была активизирована и составила 7598,9</w:t>
      </w:r>
      <w:r w:rsidRPr="008B4C8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8B4C8C">
        <w:rPr>
          <w:rFonts w:ascii="Times New Roman" w:eastAsia="Times New Roman" w:hAnsi="Times New Roman" w:cs="Times New Roman"/>
          <w:sz w:val="18"/>
          <w:szCs w:val="18"/>
        </w:rPr>
        <w:t xml:space="preserve">тыс. руб., что в сравнении с  2017 годом больше на 476,7 тыс. руб. </w:t>
      </w:r>
    </w:p>
    <w:p w:rsidR="000B168C" w:rsidRPr="008B4C8C" w:rsidRDefault="000B168C" w:rsidP="0070230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Анализируя работу учреждений культуры в 2018 году, необходимо отметить рост проводимых учреждениями культуры клубного типа мероприятий. Их было проведено 3882 (из них на платной основе - 3467), что превышает показатели 2017 года на 1842. Соответственно на 42 720 человек увеличилась и посещаемость мероприятий, которая составила 148 370 человек. </w:t>
      </w:r>
    </w:p>
    <w:p w:rsidR="000B168C" w:rsidRPr="008B4C8C" w:rsidRDefault="000B168C" w:rsidP="0070230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В конце 2018 года был проведен электронный аукцион на разработку Проектно-сметной документации по сохранению здания «Культурного центра». Объём финансирования за счёт средств областного бюджета на разработку составил 1 млн. 300 тыс. руб. Согласно ПСД общая сумма выполнения работ составляет 50 млн. 540 тысяч рублей. К сожалению, на 2019 год финансирование работ не предусмотрено. Поэтому важной задачей для нас остаётся привлечение средств вышестоящих бюджетов для выполнения работ по капитальному ремонту здания «Культурного центра».</w:t>
      </w:r>
    </w:p>
    <w:p w:rsidR="000B168C" w:rsidRPr="008B4C8C" w:rsidRDefault="000B168C" w:rsidP="00BF4CB9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В учреждениях культуры культурно-досугового типа работает 104 формирования с охватом 2600 человек. Из числа клубных формирований самодеятельного народного творчества 4 коллектива имеют звание «Народный», 1 образцово-показательный коллектив (детский).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«Детской школе искусств» функционируют 4 отделения: музыкальное, эстетическое, художественное и хореографическое,  в которых обучаются 415 детей. С 1 сентября </w:t>
      </w:r>
      <w:smartTag w:uri="urn:schemas-microsoft-com:office:smarttags" w:element="metricconverter">
        <w:smartTagPr>
          <w:attr w:name="ProductID" w:val="2018 г"/>
        </w:smartTagPr>
        <w:r w:rsidRPr="008B4C8C">
          <w:rPr>
            <w:rFonts w:ascii="Times New Roman" w:eastAsia="Calibri" w:hAnsi="Times New Roman" w:cs="Times New Roman"/>
            <w:sz w:val="18"/>
            <w:szCs w:val="18"/>
            <w:lang w:eastAsia="en-US"/>
          </w:rPr>
          <w:t>2018 г</w:t>
        </w:r>
      </w:smartTag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музыкальное отделение детской школы искусств выполнило переход на предпрофессиональное обучение. Школа искусств является инициатором творческих проектов, на </w:t>
      </w:r>
      <w:proofErr w:type="gram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базе</w:t>
      </w:r>
      <w:proofErr w:type="gram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которой организуются и проходят конкурсы, олимпиады, фестивали, выставки и другие творческие мероприятия. 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В прошлом году МБУК "Вичугский городской художественный музей" организовал и показал 17 выставок, 340 экскурсий, 28 массовых и 53 культурно-образовательных мероприятия, которые посетили 10 543 человека.</w:t>
      </w:r>
    </w:p>
    <w:p w:rsidR="000B168C" w:rsidRPr="008B4C8C" w:rsidRDefault="000B168C" w:rsidP="00BF4CB9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городском округе Вичуга прошла череда ярких культурно-массовых мероприятий,  приуроченных к государственным и городским праздникам, проведены акции: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библионочь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ночь в музее, ночь кино, ночь искусств. </w:t>
      </w:r>
    </w:p>
    <w:p w:rsidR="000B168C" w:rsidRPr="008B4C8C" w:rsidRDefault="000B168C" w:rsidP="0070230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Традиционно были организованы и проведены фестивали: Всероссийский фестиваль-конкурс инструментальной музыки "Музыкальная капель", Всероссийский фестиваль конкурс "Ступени мастерства", 6-й Всероссийский фестиваль-конкурс самодеятельных театральных коллективов "Театральные встречи в провинции", областной фестиваль "Дни российской культуры", городской конкурс военно-патриотической песни "Песни Победы".</w:t>
      </w: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В течение 2018 года в кинозале ДК «Машиностроитель» было показано 84 фильма российского и зарубежного производства (2852 сеанса, из которых 1598 сеансов российских фильмов, что составило 56% от общего количества киносеансов). Посещаемость кинозала-24 811 человек. За 2018 год валовый сбор составил 4 млн.117,5 тыс. руб.</w:t>
      </w:r>
    </w:p>
    <w:p w:rsidR="000B168C" w:rsidRPr="008B4C8C" w:rsidRDefault="000B168C" w:rsidP="00702304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Кассовые расходы за счет средств</w:t>
      </w:r>
      <w:r w:rsidR="005D7985" w:rsidRPr="008B4C8C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,</w:t>
      </w:r>
      <w:r w:rsidRPr="008B4C8C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полученных от добровольных пожертвований и приносящей доход деятельности по учреждениям культуры, подведомственны</w:t>
      </w:r>
      <w:r w:rsidR="005D7985" w:rsidRPr="008B4C8C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м</w:t>
      </w:r>
      <w:r w:rsidRPr="008B4C8C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отделу культуры администрации, за 2018 год составили 7546,2 тысяч рублей.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В числе приоритетных задач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на 2019 год  в сфере культуры:</w:t>
      </w:r>
    </w:p>
    <w:p w:rsidR="000B168C" w:rsidRPr="008B4C8C" w:rsidRDefault="000B168C" w:rsidP="00BF4CB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-увеличение показателя посещаемости и рост числа клубных формирований в учреждениях культуры культурно-досугового типа;</w:t>
      </w:r>
    </w:p>
    <w:p w:rsidR="000B168C" w:rsidRPr="008B4C8C" w:rsidRDefault="000B168C" w:rsidP="00BF4CB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-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доведение показателя средней заработной платы работников культуры до 100% к уровню средней заработной платы по Ивановской области;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- продолжение наращивания деятельности учреждений культуры, приносящей доход от платных услуг;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- выявление юных талантов вичужан;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- развитие туризма;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- совершенствование профессионального мастерства. 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B168C" w:rsidRPr="008B4C8C" w:rsidRDefault="000B168C" w:rsidP="00702304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2018 году число жителей, систематически занимающихся </w:t>
      </w:r>
      <w:r w:rsidRPr="008B4C8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спортом,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осталось на прежнем уровне – 10 179 человека. </w:t>
      </w:r>
      <w:proofErr w:type="gram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Расходы на развитие спорта выросли и составили 39,1 млн. руб. (в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т.ч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областной бюджет 1,1 млн. руб., бюджет городского округа Вичуга 35,1 млн.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руб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внебюджетные средства 2,9 млн. руб.), в 2017 г. –35,3 млн. руб. (в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т.ч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областной бюджет 0,3 млн. руб., бюджет городского округа Вичуга 32,1 млн.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руб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, внебюджетные средства 2,9 млн. руб.)</w:t>
      </w:r>
      <w:proofErr w:type="gramEnd"/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Среднегодовая численность работников  учреждений, подведомственных комитету по физической культуре и спорту, в том числе централизованной бухгалтерии, составляет 113 человек (в 2017 – 114 чел.), из них 23 человека  - тренерский состав (в 2017г. – 24 чел.). Средняя заработная плата педагогов дополнительного образования в учреждениях, подведомственных Комитету по физической культуре и спорту, составила 21 992,07 руб. (в 2017г. – 20 689,81 руб.).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В прошедшем году продолжились ремонтные работы в спорткомплексе «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Ногинец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»: произведена замена оконных блоков, отремонтирован санузел, приобретена беговая дорожка. В спорткомплексе и на павильоне стадиона «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Ногинец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» установлена пожарная сигнализация с системой передачи извещений на пульт. В спорткомплексе «Текстильщик» и «Шаговец» также поменяли оконные блоки. В «Текстильщике» установили систему видеонаблюдения, в спорткомплексе «Машиностроитель» заменена входная дверь. Всего на укрепление материально-технической базы спортивных объектов в 2018 году было затрачено около 2,4 млн. руб. (в 2017 г. – 2,6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млн</w:t>
      </w:r>
      <w:proofErr w:type="gram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.р</w:t>
      </w:r>
      <w:proofErr w:type="gram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уб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.)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В текущем году, в рамках исполнения областного закона «О наказах избирателей», запланирован капитальный ремонт кровли спортивного зала «Машиностроитель». Для ремонтных работ из областного бюджета будет выделена сумма в размере  3 млн</w:t>
      </w:r>
      <w:r w:rsidR="005D7985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468 тыс. руб. и 182 тыс. руб. -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городское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софинансирование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. В 2020 году в планах</w:t>
      </w:r>
      <w:r w:rsidR="005D7985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-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капитальный ремонт внутренних помещений спортивного зала.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Традиционно на высоком уровне прошли межрегиональные соревнования по лыжным гонкам «Лыжня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Мачева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»,  межрегиональные соревнования по хоккею с шайбой среди юношеских команд на Кубок городского округа Вичуга, спартакиада среди молодёжи допризывного возраста, легкоатлетическая эстафета на призы газеты «Вичугские новости», посвящённая Дню Победы. 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Вичугские спортсмены показывают высокие результаты в хоккее, футболе, боксе, баскетболе, лыжном спорте, пауэрлифтинге и боевых искусствах. Вичуга стала центром для проведения крупных областных и межрегиональных соревнований среди детей и взрослых, в том числе среди спортсменов с ограниченными возможностями здоровья, ветеранских организаций по самым различным видам спорта. 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Футбольный клуб «Кооператор-Вичуга» в прошлом году  стал бронзовым призером Первенства Ивановской области, обладателем Кубка Ивановской области и победителем традиционного турнира по футболу памяти В.Н.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Беляшина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г. Кострома. 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Юношеские команды по футболу стали призерами областных соревнований. Команда младших юношей по футболу стала победителем  Чемпионата области, бронзовым призером Областного турнира «Кожаный мяч». 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Баскетбольные команды девушек и юношей также заняли призовые места в региональных соревнованиях. Сборная команда по баскетболу стала победителем в зональном этапе Спартакиады муниципальных образований Ивановской области и серебряным призером в финальных соревнованиях среди мужских команд.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Хоккейный клуб «Вичуга» - Чемпион Ивановской области, обладатель Кубка Ивановской области по хоккею с шайбой в сезоне 2017-2018гг.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Особое внимание в нашем городе уделяется спортсменам с ограниченными возможностями здоровья.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Вичугские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паралимпийцы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- постоянные участники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Параспартакиад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Ивановской области. В 2018г.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вичугская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команда заняла почетное 3 место. Один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параспортсмен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стал бронзовым призером Чемпионата Ивановской области по плаванию, двое стали победителями Чемпионата Европы, 8 человек - победители Чемпионата мира, 10 спортсменов стали победителями Чемпионата России.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highlight w:val="red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Отдельно хотелось бы сказать о детско-юношеской спортивной школе «Дельфин», в которой проводятся занятия в 30 группах, занимаются 472 обучающихся, в том числе учащиеся школы № 9. 18 детей-инвалидов занимается по индивидуальной программе, разработанной тренерами-преподавателями. Два раза в неделю в бассейне проводятся занятия для взрослых жителей городского округа с ограниченными возможностями здоровья (16 человек). Занятия проводятся на бесплатной основе.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В прошедшем году бассейн посетили 95 991 раз (в 2017г. – 94 400 посещений). На бюджетной  основе – 76 494 (2017 г. – 75 700 посещений), на платной основе  -  15 497 посещений (2017 – 18700).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Ежемесячно в бассейне проходят Дни здоровья для учащихся школ города. Совместно с городским отделом образования проводится первенство по плаванию среди учащихся общеобразовательных школ. 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Несмотря на то, что учреждение несёт большую социальную нагрузку, оно ежегодно получает доходы, в минувшем году они составили 2 млн. 471 тыс. рублей. Доходы направляются на стимулирование работников учреждения, укрепление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материально-технической базы, оплату поездок на выездные соревнования, приобретение наградной продукции для проведения внутренних соревнований и т.д.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За 2018 год на внебюджетные счета, включая бассейн,  поступило 2 млн. 345,3 тыс. руб. в качестве платы и 556,4 тыс. руб. добровольных пожертвований. Эти средства направляются на заработную плату, ремонт, приобретение инвентаря и транспортные расходы. </w:t>
      </w:r>
    </w:p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8B4C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 целях популяризации ВФСК «ГТО» были проведены летние и зимние Фестивали «Готов к труду и обороне» среди коллективов организаций и детского населения. В тестировании взрослого и детского населения, в котором зарегистрировалось 1988 чел., приняли участие 504 человека (в 2017г.- 393), в том </w:t>
      </w:r>
      <w:r w:rsidR="00B447DD" w:rsidRPr="008B4C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числе школьников  - 397 человек</w:t>
      </w:r>
      <w:r w:rsidRPr="008B4C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(в 2017г – 264 чел.). Количество выполнивших нормативы ВФСК ГТО на знаки отличия всего 168 чел. (в 2017г. – 309 чел.), в том числе:</w:t>
      </w:r>
      <w:r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золото – 54 чел., серебро – 73 чел.,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бронз</w:t>
      </w:r>
      <w:r w:rsidRPr="008B4C8C">
        <w:rPr>
          <w:rFonts w:ascii="Times New Roman" w:eastAsia="Times New Roman" w:hAnsi="Times New Roman" w:cs="Times New Roman"/>
          <w:color w:val="000000"/>
          <w:sz w:val="18"/>
          <w:szCs w:val="18"/>
        </w:rPr>
        <w:t>а – 41 чел.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Основными задачами на 2019 и последующие годы являются оптимизация использования бюджетных и внебюджетных средств, сохранение поступательного движения в развитии физической культуры и спорта, улучшение условий для занятий спортом, укрепление материально-технической базы. За счет внебюджетных источников в учреждениях МБУДО ДЮСШ «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Ногинец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» и МБУ «Текстильщик» запланирована организация проката спортивного инвентаря в зимнее время. </w:t>
      </w:r>
    </w:p>
    <w:p w:rsidR="000B168C" w:rsidRPr="008B4C8C" w:rsidRDefault="00B447DD" w:rsidP="00702304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Выполнение всех выше</w:t>
      </w:r>
      <w:r w:rsidR="000B168C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перечисленных мероприятий позволит осуществить одну из основных задач - привлечение взрослого и детского населения к систематическим занятиям физической культурой и спортом в нашем городе.</w:t>
      </w:r>
    </w:p>
    <w:p w:rsidR="000B168C" w:rsidRPr="008B4C8C" w:rsidRDefault="000B168C" w:rsidP="00BF4CB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Поддержка медицинских работников и некоммерческих организаций</w:t>
      </w:r>
    </w:p>
    <w:p w:rsidR="00702304" w:rsidRPr="008B4C8C" w:rsidRDefault="00702304" w:rsidP="00BF4CB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Городские власти уделяют большое внимание вопросу обеспечения кадрами ОБУЗ «Вичугская ЦРБ». Администрацией города была разработана программа поддержки медицинских работников. В рамках программы поддержка оказывается как уже работающим сотрудникам ЦРБ, так </w:t>
      </w:r>
      <w:r w:rsidR="00B447DD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молодым специалистам в виде доплаты студентам-медикам и интернам. Кроме того, специалистам, поступающим на работу, в случае необходимости предоставляется служебное жилье из муниципального фонда. 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рамках подпрограммы «Оказание мер социальной поддержки медицинским работникам ОБУЗ Вичугская ЦРБ»  из бюджета городского округа Вичуга в 2018 году было выделено 690 тыс. руб. </w:t>
      </w:r>
    </w:p>
    <w:p w:rsidR="000B168C" w:rsidRPr="008B4C8C" w:rsidRDefault="000B168C" w:rsidP="0070230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Таким образом, совместными усилиями за отчетный период </w:t>
      </w:r>
      <w:proofErr w:type="gramStart"/>
      <w:r w:rsidR="004C4D96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в</w:t>
      </w:r>
      <w:proofErr w:type="gramEnd"/>
      <w:r w:rsidR="004C4D96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ОБУЗ</w:t>
      </w:r>
      <w:proofErr w:type="gram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Вичугская ЦРБ </w:t>
      </w:r>
      <w:r w:rsidR="004C4D96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пришли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на работу 17 человек из числа среднего медицинского персонала и 10 врачей, в том числе двух акушеров-гинекологов, невролога, двух хирургов, двух терапевтов, двух педиатров и одного неонатолога. 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B168C" w:rsidRPr="008B4C8C" w:rsidRDefault="00702304" w:rsidP="0070230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ab/>
      </w:r>
      <w:r w:rsidR="000B168C" w:rsidRPr="008B4C8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Поддержка общественных организаций. </w:t>
      </w:r>
      <w:r w:rsidR="000B168C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Как и прежде, в  2018 году на территории городского округа Вичуга свою деятельность осуществляли 3 социально ориентированные некоммерческие организации: Вичугская городская общественная ветеранская организация Всероссийской общественной организации ветеранов (пенсионеров) войны, труда, Вооруженных сил и правоохранительных органов, </w:t>
      </w:r>
      <w:r w:rsidR="000B168C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Вичугская городская общественная организация Всероссийского общества инвалидов, Вичугское общество слепых.  Данным организациям на безвозмездной основе предоставлено помещение, оказана финансовая поддержка в виде субсидий из муниципального бюджета в размере  411,2 тыс. руб. (прошлый год 388 тыс. рублей) </w:t>
      </w:r>
    </w:p>
    <w:p w:rsidR="000B168C" w:rsidRPr="008B4C8C" w:rsidRDefault="000B168C" w:rsidP="00BF4CB9">
      <w:pPr>
        <w:tabs>
          <w:tab w:val="left" w:pos="7830"/>
        </w:tabs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Ежегодно увеличивается число ветеранов и лиц с ограниченными возможностями здоровья, которые занимают  активную жизненную позицию, реализуют себя в общественной, культурной, спортивной жизни  города и  региона через участие на постоянной основе в различных мероприятиях, соревнованиях, акциях.</w:t>
      </w:r>
    </w:p>
    <w:p w:rsidR="000B168C" w:rsidRPr="008B4C8C" w:rsidRDefault="000B168C" w:rsidP="00BF4CB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ja-JP" w:bidi="fa-IR"/>
        </w:rPr>
      </w:pPr>
    </w:p>
    <w:p w:rsidR="000B168C" w:rsidRPr="008B4C8C" w:rsidRDefault="000B168C" w:rsidP="00702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ja-JP" w:bidi="fa-IR"/>
        </w:rPr>
      </w:pPr>
      <w:r w:rsidRPr="008B4C8C">
        <w:rPr>
          <w:rFonts w:ascii="Times New Roman" w:eastAsia="Times New Roman" w:hAnsi="Times New Roman" w:cs="Times New Roman"/>
          <w:sz w:val="18"/>
          <w:szCs w:val="18"/>
          <w:lang w:eastAsia="ja-JP" w:bidi="fa-IR"/>
        </w:rPr>
        <w:t xml:space="preserve">Несмотря на лидирующие показатели по ряду направлений </w:t>
      </w:r>
      <w:r w:rsidRPr="008B4C8C">
        <w:rPr>
          <w:rFonts w:ascii="Times New Roman" w:eastAsia="Times New Roman" w:hAnsi="Times New Roman" w:cs="Times New Roman"/>
          <w:b/>
          <w:sz w:val="18"/>
          <w:szCs w:val="18"/>
          <w:lang w:eastAsia="ja-JP" w:bidi="fa-IR"/>
        </w:rPr>
        <w:t>оперативно-служебной деятельности</w:t>
      </w:r>
      <w:r w:rsidRPr="008B4C8C">
        <w:rPr>
          <w:rFonts w:ascii="Times New Roman" w:eastAsia="Times New Roman" w:hAnsi="Times New Roman" w:cs="Times New Roman"/>
          <w:sz w:val="18"/>
          <w:szCs w:val="18"/>
          <w:lang w:eastAsia="ja-JP" w:bidi="fa-IR"/>
        </w:rPr>
        <w:t xml:space="preserve"> Вичугского отдела МВД,  в 2018 году  уличная преступность сохранилась на высоком уровне.  Увеличилось количество преступлений, совершенны</w:t>
      </w:r>
      <w:r w:rsidR="00B447DD" w:rsidRPr="008B4C8C">
        <w:rPr>
          <w:rFonts w:ascii="Times New Roman" w:eastAsia="Times New Roman" w:hAnsi="Times New Roman" w:cs="Times New Roman"/>
          <w:sz w:val="18"/>
          <w:szCs w:val="18"/>
          <w:lang w:eastAsia="ja-JP" w:bidi="fa-IR"/>
        </w:rPr>
        <w:t>х</w:t>
      </w:r>
      <w:r w:rsidRPr="008B4C8C">
        <w:rPr>
          <w:rFonts w:ascii="Times New Roman" w:eastAsia="Times New Roman" w:hAnsi="Times New Roman" w:cs="Times New Roman"/>
          <w:sz w:val="18"/>
          <w:szCs w:val="18"/>
          <w:lang w:eastAsia="ja-JP" w:bidi="fa-IR"/>
        </w:rPr>
        <w:t xml:space="preserve"> несовершеннолетними и отмечен рост преступлений, совершаемых в сфере информационно-телекоммуникационных технологий. В связи с чем, считаю, что особое внимание сотрудников полиции должно быть направлено на усиление профилактических мероприятий по этим проблемным вопросам. Администрация городского округа Вичуга также будет прилагать все возможные усилия для решения этих вопросов. </w:t>
      </w:r>
    </w:p>
    <w:p w:rsidR="000B168C" w:rsidRPr="008B4C8C" w:rsidRDefault="000B168C" w:rsidP="004756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ja-JP" w:bidi="fa-IR"/>
        </w:rPr>
      </w:pPr>
      <w:r w:rsidRPr="008B4C8C">
        <w:rPr>
          <w:rFonts w:ascii="Times New Roman" w:eastAsia="Times New Roman" w:hAnsi="Times New Roman" w:cs="Times New Roman"/>
          <w:sz w:val="18"/>
          <w:szCs w:val="18"/>
          <w:lang w:eastAsia="ja-JP" w:bidi="fa-IR"/>
        </w:rPr>
        <w:t>На 33% снизилась аварийность на городских дорогах с пострадавшими людьми. Основными причинами происшествий являются управление в состоянии алкогольного опьянения, несоответствие скорости и неправильный выбор дистанций.</w:t>
      </w:r>
    </w:p>
    <w:p w:rsidR="000B168C" w:rsidRPr="008B4C8C" w:rsidRDefault="000B168C" w:rsidP="004756F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На территории города продолжается реализация АПК «Безопасный город». В течение 2018 года за счет средств местного бюджета был</w:t>
      </w:r>
      <w:r w:rsidR="00B447DD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а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установлен</w:t>
      </w:r>
      <w:r w:rsidR="00B447DD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а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еще одна камера уличного видеонаблюдения и приобретен дополнительный монитор в дежурную часть МВД. На сегодняшний день на территории города действуют 7 камер уличного видеонаблюдения.</w:t>
      </w:r>
    </w:p>
    <w:p w:rsidR="000B168C" w:rsidRPr="008B4C8C" w:rsidRDefault="000B168C" w:rsidP="004756F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В целях профилактики правонарушений и оказания содействия правоохранительным органам на территории Вичуги с 2014 действует добровольная народная дружина «Ветеран», которая по итогам результативности работы за 1 полугодие 2018 года заняла 1 место в области. С их участием было пресечено 10 административных нарушений.</w:t>
      </w:r>
    </w:p>
    <w:p w:rsidR="000B168C" w:rsidRPr="008B4C8C" w:rsidRDefault="000B168C" w:rsidP="004756F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2018 году на территории города создана еще одна народная дружина - «Вымпел». Радует, что растет число неравнодушных граждан с активной гражданской позицией, готовых оказать содействие полиции в вопросах охраны общественного порядка. Со стороны города для дружинников предусмотрены денежные поощрения и страхование жизни. </w:t>
      </w:r>
    </w:p>
    <w:p w:rsidR="000B168C" w:rsidRPr="008B4C8C" w:rsidRDefault="000B168C" w:rsidP="004756FB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Центр государственных и муниципальных услуг </w:t>
      </w:r>
      <w:r w:rsidRPr="008B4C8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«Мои документы»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предоставляет 111 услуг населению посредством информирования граждан, приема и выдачи документов.</w:t>
      </w:r>
    </w:p>
    <w:p w:rsidR="000B168C" w:rsidRPr="008B4C8C" w:rsidRDefault="000B168C" w:rsidP="004756FB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За 2018 год у</w:t>
      </w:r>
      <w:r w:rsidR="00B447DD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чреждением оказано 21 411 услуг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, рост по сравнению с 2017 годом составил 25%. Федеральных услуг по итогам года предоставлено - 19263. Наиболее востреб</w:t>
      </w:r>
      <w:r w:rsidR="00B447DD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ованными из них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остаются услуги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Росреестра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(45%), МВД (32%), Налоговой службы (4,6%), Социальной защиты населения (4%), Пенсионного фонда РФ (3,2%).</w:t>
      </w:r>
    </w:p>
    <w:p w:rsidR="000B168C" w:rsidRPr="008B4C8C" w:rsidRDefault="000B168C" w:rsidP="004756FB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Муниципальных услуг в 2018 году предоставлено 2148, в основном</w:t>
      </w:r>
      <w:r w:rsidR="00B447DD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это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обращения по таким направлениям, как оформление земельных участков в собственность, 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постановка детей на очередь в детский сад, работа с учетными записями портала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Госус</w:t>
      </w:r>
      <w:r w:rsidR="00B447DD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луг</w:t>
      </w:r>
      <w:proofErr w:type="spellEnd"/>
      <w:r w:rsidR="00B447DD"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через центр «Мои документы»</w:t>
      </w: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0B168C" w:rsidRPr="008B4C8C" w:rsidRDefault="000B168C" w:rsidP="004756FB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en-US"/>
        </w:rPr>
        <w:t>На 1 января 2019 года количество окон осталось прежним - 8 единиц, среднее время ожидания в очереди не более15 минут.</w:t>
      </w:r>
    </w:p>
    <w:p w:rsidR="000B168C" w:rsidRPr="008B4C8C" w:rsidRDefault="000B168C" w:rsidP="00BF4CB9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B168C" w:rsidRPr="008B4C8C" w:rsidRDefault="000B168C" w:rsidP="004756FB">
      <w:pPr>
        <w:suppressAutoHyphens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ja-JP" w:bidi="fa-IR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 xml:space="preserve">В 2018 году в администрацию города поступило 713 письменных </w:t>
      </w:r>
      <w:r w:rsidRPr="008B4C8C">
        <w:rPr>
          <w:rFonts w:ascii="Times New Roman" w:eastAsia="Calibri" w:hAnsi="Times New Roman" w:cs="Times New Roman"/>
          <w:b/>
          <w:sz w:val="18"/>
          <w:szCs w:val="18"/>
          <w:lang w:eastAsia="ja-JP" w:bidi="fa-IR"/>
        </w:rPr>
        <w:t>обращений граждан</w:t>
      </w: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 xml:space="preserve"> (в 2017 году - 635).</w:t>
      </w:r>
    </w:p>
    <w:p w:rsidR="000B168C" w:rsidRPr="008B4C8C" w:rsidRDefault="000B168C" w:rsidP="004756FB">
      <w:pPr>
        <w:suppressAutoHyphens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ja-JP" w:bidi="fa-IR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>В своих письменных обращениях граждане поставили 754 вопроса (в 2017г. - 678). По ито</w:t>
      </w:r>
      <w:r w:rsidR="00B447DD"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>гам рассмотрения 171 вопрос был решен</w:t>
      </w: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 xml:space="preserve"> положительно (в 2017г. - 195), на 437 вопросов были даны соответствующие разъяснения (в 2017 г. - 371), по 115 вопросам было отказано (в 2017г. -105), поставлено на контроль 6 обращений граждан (</w:t>
      </w:r>
      <w:proofErr w:type="gramStart"/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>в</w:t>
      </w:r>
      <w:proofErr w:type="gramEnd"/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 xml:space="preserve"> 2017г. - 7). Ответы на письменные обращения были предоставлены в установленные законодательством сроки.</w:t>
      </w:r>
    </w:p>
    <w:p w:rsidR="000B168C" w:rsidRPr="008B4C8C" w:rsidRDefault="000B168C" w:rsidP="004756FB">
      <w:pPr>
        <w:suppressAutoHyphens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ja-JP" w:bidi="fa-IR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>В 2018 году наибольшее количество вопросов в письменных обращениях граждане поставили по благоустройству территорий, в том числе выпиловке старых деревьев, ремонту и подсыпке дорог, благоустройству придомовых территорий и т.д. (297).</w:t>
      </w:r>
    </w:p>
    <w:p w:rsidR="000B168C" w:rsidRPr="008B4C8C" w:rsidRDefault="000B168C" w:rsidP="004756FB">
      <w:pPr>
        <w:suppressAutoHyphens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ja-JP" w:bidi="fa-IR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>За период 2018 года главой городского округа Вичуга и заместителями главы администрации на личном приеме было принято 202 гражданина (в 2017 году - 263), которыми было поставлено 259 вопросов (в 2017 году -343). По результатам проведения личного приема было выполнено 53 обращения, на 199 обращений даны разъяснения, по 3 обращениям отказано и 3 обращения поставлены на контроль.</w:t>
      </w:r>
    </w:p>
    <w:p w:rsidR="000B168C" w:rsidRPr="008B4C8C" w:rsidRDefault="000B168C" w:rsidP="004756FB">
      <w:pPr>
        <w:suppressAutoHyphens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ja-JP" w:bidi="fa-IR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>12 декабря 2018 года проведен общероссийский день приёма граждан с использованием Сетевого Справочного Телефонного Узла (ССТУ) в сети Интернет. В этот день принято на личном приеме 14 граждан (в 2017г. - 22), от которых поступило 1 письменное обращение. Тематика обращений касалась благоустройства города, ремонта жилья, подсыпки дорог частного сектора и т.д. Поставленные гражданами вопросы были решены в ходе проведения приема, а также при их дальнейшем рассмотрении в администрации.</w:t>
      </w:r>
    </w:p>
    <w:p w:rsidR="000B168C" w:rsidRPr="008B4C8C" w:rsidRDefault="000B168C" w:rsidP="00BF4CB9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ja-JP" w:bidi="fa-IR"/>
        </w:rPr>
      </w:pPr>
    </w:p>
    <w:p w:rsidR="000B168C" w:rsidRPr="008B4C8C" w:rsidRDefault="000B168C" w:rsidP="004756FB">
      <w:pPr>
        <w:suppressAutoHyphens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ja-JP" w:bidi="fa-IR"/>
        </w:rPr>
      </w:pP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 xml:space="preserve">В настоящее время для оценки деятельности органов местного самоуправления применяются опрос населения с использованием </w:t>
      </w:r>
      <w:r w:rsidRPr="008B4C8C">
        <w:rPr>
          <w:rFonts w:ascii="Times New Roman" w:eastAsia="Calibri" w:hAnsi="Times New Roman" w:cs="Times New Roman"/>
          <w:sz w:val="18"/>
          <w:szCs w:val="18"/>
          <w:lang w:val="en-US" w:eastAsia="ja-JP" w:bidi="fa-IR"/>
        </w:rPr>
        <w:t>IT</w:t>
      </w: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 xml:space="preserve">-технологий. Стоит отметить, что по результатам опроса 2018 года, </w:t>
      </w:r>
      <w:proofErr w:type="spellStart"/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>вичужане</w:t>
      </w:r>
      <w:proofErr w:type="spellEnd"/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 xml:space="preserve"> дали положительную оценку муниципалитету в целом. Низким по сравнению с другими показателями оказалась удовлетворительность населения качеством автомобильных дорог – 51,2%, по остальным показателям оценки выше 79,5%.</w:t>
      </w:r>
    </w:p>
    <w:p w:rsidR="000B168C" w:rsidRPr="008B4C8C" w:rsidRDefault="000B168C" w:rsidP="00BF4CB9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ja-JP" w:bidi="fa-IR"/>
        </w:rPr>
      </w:pPr>
    </w:p>
    <w:p w:rsidR="000B168C" w:rsidRPr="008B4C8C" w:rsidRDefault="000B168C" w:rsidP="004756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ja-JP" w:bidi="fa-IR"/>
        </w:rPr>
      </w:pPr>
      <w:r w:rsidRPr="008B4C8C">
        <w:rPr>
          <w:rFonts w:ascii="Times New Roman" w:eastAsia="Calibri" w:hAnsi="Times New Roman" w:cs="Times New Roman"/>
          <w:color w:val="000000"/>
          <w:sz w:val="18"/>
          <w:szCs w:val="18"/>
          <w:lang w:eastAsia="ja-JP" w:bidi="fa-IR"/>
        </w:rPr>
        <w:t xml:space="preserve">Безусловно, главными политическими событиями 2018 года стали </w:t>
      </w:r>
      <w:r w:rsidRPr="008B4C8C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ja-JP" w:bidi="fa-IR"/>
        </w:rPr>
        <w:t>выборы Президента Российской Федерации</w:t>
      </w:r>
      <w:r w:rsidRPr="008B4C8C">
        <w:rPr>
          <w:rFonts w:ascii="Times New Roman" w:eastAsia="Calibri" w:hAnsi="Times New Roman" w:cs="Times New Roman"/>
          <w:color w:val="000000"/>
          <w:sz w:val="18"/>
          <w:szCs w:val="18"/>
          <w:lang w:eastAsia="ja-JP" w:bidi="fa-IR"/>
        </w:rPr>
        <w:t xml:space="preserve">,  Губернатора и депутатов </w:t>
      </w:r>
      <w:r w:rsidR="00B447DD" w:rsidRPr="008B4C8C">
        <w:rPr>
          <w:rFonts w:ascii="Times New Roman" w:eastAsia="Calibri" w:hAnsi="Times New Roman" w:cs="Times New Roman"/>
          <w:color w:val="000000"/>
          <w:sz w:val="18"/>
          <w:szCs w:val="18"/>
          <w:lang w:eastAsia="ja-JP" w:bidi="fa-IR"/>
        </w:rPr>
        <w:t xml:space="preserve">Ивановской </w:t>
      </w:r>
      <w:r w:rsidRPr="008B4C8C">
        <w:rPr>
          <w:rFonts w:ascii="Times New Roman" w:eastAsia="Calibri" w:hAnsi="Times New Roman" w:cs="Times New Roman"/>
          <w:color w:val="000000"/>
          <w:sz w:val="18"/>
          <w:szCs w:val="18"/>
          <w:lang w:eastAsia="ja-JP" w:bidi="fa-IR"/>
        </w:rPr>
        <w:t xml:space="preserve">областной Думы. </w:t>
      </w:r>
    </w:p>
    <w:p w:rsidR="000B168C" w:rsidRPr="008B4C8C" w:rsidRDefault="000B168C" w:rsidP="004756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8B4C8C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Первостепенной задачей, поставленной перед нами, стало проведение избирательных кампаний в строгом соответствии с требованиями законодательства. И городские власти с этой задачей справилась! Н</w:t>
      </w:r>
      <w:r w:rsidRPr="008B4C8C">
        <w:rPr>
          <w:rFonts w:ascii="Times New Roman" w:eastAsia="Calibri" w:hAnsi="Times New Roman" w:cs="Times New Roman"/>
          <w:color w:val="000000"/>
          <w:sz w:val="18"/>
          <w:szCs w:val="18"/>
          <w:lang w:eastAsia="ja-JP" w:bidi="fa-IR"/>
        </w:rPr>
        <w:t>есмотря на предвыборную пропаганду, призыва</w:t>
      </w:r>
      <w:r w:rsidR="00B447DD" w:rsidRPr="008B4C8C">
        <w:rPr>
          <w:rFonts w:ascii="Times New Roman" w:eastAsia="Calibri" w:hAnsi="Times New Roman" w:cs="Times New Roman"/>
          <w:color w:val="000000"/>
          <w:sz w:val="18"/>
          <w:szCs w:val="18"/>
          <w:lang w:eastAsia="ja-JP" w:bidi="fa-IR"/>
        </w:rPr>
        <w:t>вшую</w:t>
      </w:r>
      <w:r w:rsidRPr="008B4C8C">
        <w:rPr>
          <w:rFonts w:ascii="Times New Roman" w:eastAsia="Calibri" w:hAnsi="Times New Roman" w:cs="Times New Roman"/>
          <w:color w:val="000000"/>
          <w:sz w:val="18"/>
          <w:szCs w:val="18"/>
          <w:lang w:eastAsia="ja-JP" w:bidi="fa-IR"/>
        </w:rPr>
        <w:t xml:space="preserve"> игнорировать выборы, сознательная часть вичужан разных политических </w:t>
      </w:r>
      <w:r w:rsidRPr="008B4C8C">
        <w:rPr>
          <w:rFonts w:ascii="Times New Roman" w:eastAsia="Calibri" w:hAnsi="Times New Roman" w:cs="Times New Roman"/>
          <w:color w:val="000000"/>
          <w:sz w:val="18"/>
          <w:szCs w:val="18"/>
          <w:lang w:eastAsia="ja-JP" w:bidi="fa-IR"/>
        </w:rPr>
        <w:lastRenderedPageBreak/>
        <w:t xml:space="preserve">взглядов приняли участие в выборах, выразили свою гражданскую позицию и сделали осознанный выбор. При проведении выборов была обеспечена безопасность и созданы необходимые условия для свободного волеизъявления вичужан. </w:t>
      </w:r>
    </w:p>
    <w:p w:rsidR="000B168C" w:rsidRPr="008B4C8C" w:rsidRDefault="000B168C" w:rsidP="00BF4CB9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ja-JP" w:bidi="fa-IR"/>
        </w:rPr>
      </w:pPr>
    </w:p>
    <w:p w:rsidR="000B168C" w:rsidRPr="008B4C8C" w:rsidRDefault="000B168C" w:rsidP="004756FB">
      <w:pPr>
        <w:suppressAutoHyphens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ja-JP" w:bidi="fa-IR"/>
        </w:rPr>
      </w:pPr>
      <w:r w:rsidRPr="008B4C8C">
        <w:rPr>
          <w:rFonts w:ascii="Times New Roman" w:eastAsia="Calibri" w:hAnsi="Times New Roman" w:cs="Times New Roman"/>
          <w:b/>
          <w:sz w:val="18"/>
          <w:szCs w:val="18"/>
          <w:lang w:eastAsia="ja-JP" w:bidi="fa-IR"/>
        </w:rPr>
        <w:t>Уважаемые коллеги</w:t>
      </w:r>
      <w:r w:rsidRPr="008B4C8C">
        <w:rPr>
          <w:rFonts w:ascii="Times New Roman" w:eastAsia="Calibri" w:hAnsi="Times New Roman" w:cs="Times New Roman"/>
          <w:sz w:val="18"/>
          <w:szCs w:val="18"/>
          <w:lang w:eastAsia="ja-JP" w:bidi="fa-IR"/>
        </w:rPr>
        <w:t xml:space="preserve">, в своем докладе я озвучил лишь основные задачи, поставленные перед администрацией на 2019 год.  Формат отчета не позволяет остановиться на более детальных, но не менее значимых направлениях в деятельности  администрации. Конкретные задачи в настоящее время нами сформированы, и я уверен, что совместными усилиями администрации, депутатов городской Думы, при поддержке областного Правительства мы сможем их решить! </w:t>
      </w:r>
    </w:p>
    <w:p w:rsidR="000B168C" w:rsidRPr="008B4C8C" w:rsidRDefault="000B168C" w:rsidP="00BF4CB9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ja-JP" w:bidi="fa-IR"/>
        </w:rPr>
      </w:pPr>
    </w:p>
    <w:p w:rsidR="00EE4F38" w:rsidRPr="008B4C8C" w:rsidRDefault="00EE4F38" w:rsidP="00BF4CB9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E4F38" w:rsidRPr="008B4C8C" w:rsidSect="008B4C8C">
      <w:footerReference w:type="default" r:id="rId8"/>
      <w:pgSz w:w="8419" w:h="11907" w:orient="landscape" w:code="9"/>
      <w:pgMar w:top="720" w:right="720" w:bottom="720" w:left="720" w:header="709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4E" w:rsidRDefault="006A704E">
      <w:pPr>
        <w:spacing w:after="0" w:line="240" w:lineRule="auto"/>
      </w:pPr>
      <w:r>
        <w:separator/>
      </w:r>
    </w:p>
  </w:endnote>
  <w:endnote w:type="continuationSeparator" w:id="0">
    <w:p w:rsidR="006A704E" w:rsidRDefault="006A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89" w:rsidRDefault="00E81D8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8B4C8C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4E" w:rsidRDefault="006A704E">
      <w:pPr>
        <w:spacing w:after="0" w:line="240" w:lineRule="auto"/>
      </w:pPr>
      <w:r>
        <w:separator/>
      </w:r>
    </w:p>
  </w:footnote>
  <w:footnote w:type="continuationSeparator" w:id="0">
    <w:p w:rsidR="006A704E" w:rsidRDefault="006A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7F0"/>
    <w:multiLevelType w:val="hybridMultilevel"/>
    <w:tmpl w:val="337C75C4"/>
    <w:lvl w:ilvl="0" w:tplc="F48095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E02817"/>
    <w:multiLevelType w:val="hybridMultilevel"/>
    <w:tmpl w:val="4534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C36C4"/>
    <w:multiLevelType w:val="hybridMultilevel"/>
    <w:tmpl w:val="354CECD6"/>
    <w:lvl w:ilvl="0" w:tplc="84CC1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F03752"/>
    <w:multiLevelType w:val="hybridMultilevel"/>
    <w:tmpl w:val="69205F46"/>
    <w:lvl w:ilvl="0" w:tplc="4344E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D77CCD"/>
    <w:multiLevelType w:val="hybridMultilevel"/>
    <w:tmpl w:val="8D546014"/>
    <w:lvl w:ilvl="0" w:tplc="5B124D90">
      <w:start w:val="1"/>
      <w:numFmt w:val="decimal"/>
      <w:lvlText w:val="%1)"/>
      <w:lvlJc w:val="left"/>
      <w:pPr>
        <w:ind w:left="1830" w:hanging="123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38403831"/>
    <w:multiLevelType w:val="hybridMultilevel"/>
    <w:tmpl w:val="770E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E32A9"/>
    <w:multiLevelType w:val="hybridMultilevel"/>
    <w:tmpl w:val="9F6672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B906DED"/>
    <w:multiLevelType w:val="hybridMultilevel"/>
    <w:tmpl w:val="8634166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F55569E"/>
    <w:multiLevelType w:val="hybridMultilevel"/>
    <w:tmpl w:val="EB70C392"/>
    <w:lvl w:ilvl="0" w:tplc="E258F566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720F6C73"/>
    <w:multiLevelType w:val="hybridMultilevel"/>
    <w:tmpl w:val="93FA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8C"/>
    <w:rsid w:val="00026107"/>
    <w:rsid w:val="000B168C"/>
    <w:rsid w:val="00115C2B"/>
    <w:rsid w:val="00175A4F"/>
    <w:rsid w:val="001B09B0"/>
    <w:rsid w:val="001F3423"/>
    <w:rsid w:val="00247CB6"/>
    <w:rsid w:val="00394932"/>
    <w:rsid w:val="0044550F"/>
    <w:rsid w:val="004756FB"/>
    <w:rsid w:val="004C4D96"/>
    <w:rsid w:val="005D7985"/>
    <w:rsid w:val="006A704E"/>
    <w:rsid w:val="00702304"/>
    <w:rsid w:val="007C7CA8"/>
    <w:rsid w:val="008B4C8C"/>
    <w:rsid w:val="009512B1"/>
    <w:rsid w:val="009A56AF"/>
    <w:rsid w:val="009B35C9"/>
    <w:rsid w:val="00A30478"/>
    <w:rsid w:val="00B447DD"/>
    <w:rsid w:val="00BD2643"/>
    <w:rsid w:val="00BF4CB9"/>
    <w:rsid w:val="00E81D89"/>
    <w:rsid w:val="00EE4F38"/>
    <w:rsid w:val="00F0140B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0B"/>
  </w:style>
  <w:style w:type="paragraph" w:styleId="2">
    <w:name w:val="heading 2"/>
    <w:basedOn w:val="a"/>
    <w:next w:val="a"/>
    <w:link w:val="20"/>
    <w:qFormat/>
    <w:rsid w:val="000B16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68C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B168C"/>
  </w:style>
  <w:style w:type="paragraph" w:customStyle="1" w:styleId="a3">
    <w:name w:val="Базовый"/>
    <w:rsid w:val="000B168C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sz w:val="24"/>
      <w:szCs w:val="24"/>
      <w:lang w:val="de-DE" w:eastAsia="ja-JP" w:bidi="fa-IR"/>
    </w:rPr>
  </w:style>
  <w:style w:type="paragraph" w:styleId="a4">
    <w:name w:val="No Spacing"/>
    <w:link w:val="a5"/>
    <w:uiPriority w:val="1"/>
    <w:qFormat/>
    <w:rsid w:val="000B16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0B16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B1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B168C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B168C"/>
    <w:rPr>
      <w:rFonts w:ascii="Tahoma" w:eastAsia="Calibri" w:hAnsi="Tahoma" w:cs="Times New Roman"/>
      <w:sz w:val="16"/>
      <w:szCs w:val="20"/>
      <w:lang w:val="x-none" w:eastAsia="en-US"/>
    </w:rPr>
  </w:style>
  <w:style w:type="paragraph" w:styleId="aa">
    <w:name w:val="Body Text"/>
    <w:basedOn w:val="a"/>
    <w:link w:val="ab"/>
    <w:uiPriority w:val="99"/>
    <w:rsid w:val="000B168C"/>
    <w:pPr>
      <w:spacing w:after="0" w:line="240" w:lineRule="auto"/>
      <w:jc w:val="both"/>
    </w:pPr>
    <w:rPr>
      <w:rFonts w:ascii="Calibri" w:eastAsia="Calibri" w:hAnsi="Calibri" w:cs="Times New Roman"/>
      <w:sz w:val="32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168C"/>
    <w:rPr>
      <w:rFonts w:ascii="Calibri" w:eastAsia="Calibri" w:hAnsi="Calibri" w:cs="Times New Roman"/>
      <w:sz w:val="32"/>
      <w:szCs w:val="20"/>
    </w:rPr>
  </w:style>
  <w:style w:type="character" w:customStyle="1" w:styleId="BodyTextChar">
    <w:name w:val="Body Text Char"/>
    <w:uiPriority w:val="99"/>
    <w:semiHidden/>
    <w:rsid w:val="000B168C"/>
    <w:rPr>
      <w:lang w:eastAsia="en-US"/>
    </w:rPr>
  </w:style>
  <w:style w:type="paragraph" w:styleId="ac">
    <w:name w:val="Body Text Indent"/>
    <w:basedOn w:val="a"/>
    <w:link w:val="ad"/>
    <w:uiPriority w:val="99"/>
    <w:rsid w:val="000B168C"/>
    <w:pPr>
      <w:spacing w:after="120"/>
      <w:ind w:left="283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0B168C"/>
    <w:rPr>
      <w:rFonts w:ascii="Calibri" w:eastAsia="Times New Roman" w:hAnsi="Calibri" w:cs="Times New Roman"/>
      <w:szCs w:val="20"/>
      <w:lang w:eastAsia="en-US"/>
    </w:rPr>
  </w:style>
  <w:style w:type="character" w:customStyle="1" w:styleId="BodyTextIndentChar">
    <w:name w:val="Body Text Indent Char"/>
    <w:uiPriority w:val="99"/>
    <w:semiHidden/>
    <w:rsid w:val="000B168C"/>
    <w:rPr>
      <w:lang w:eastAsia="en-US"/>
    </w:rPr>
  </w:style>
  <w:style w:type="paragraph" w:customStyle="1" w:styleId="10">
    <w:name w:val="Абзац списка1"/>
    <w:basedOn w:val="a"/>
    <w:uiPriority w:val="99"/>
    <w:rsid w:val="000B16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0B168C"/>
    <w:rPr>
      <w:rFonts w:ascii="Times New Roman" w:hAnsi="Times New Roman"/>
      <w:sz w:val="26"/>
    </w:rPr>
  </w:style>
  <w:style w:type="paragraph" w:styleId="21">
    <w:name w:val="Body Text 2"/>
    <w:basedOn w:val="a"/>
    <w:link w:val="22"/>
    <w:uiPriority w:val="99"/>
    <w:semiHidden/>
    <w:unhideWhenUsed/>
    <w:rsid w:val="000B168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B168C"/>
    <w:rPr>
      <w:rFonts w:ascii="Calibri" w:eastAsia="Calibri" w:hAnsi="Calibri" w:cs="Times New Roman"/>
      <w:lang w:eastAsia="en-US"/>
    </w:rPr>
  </w:style>
  <w:style w:type="paragraph" w:customStyle="1" w:styleId="ae">
    <w:name w:val="Знак"/>
    <w:basedOn w:val="a"/>
    <w:rsid w:val="000B16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0B168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B168C"/>
    <w:rPr>
      <w:rFonts w:ascii="Calibri" w:eastAsia="Calibri" w:hAnsi="Calibri" w:cs="Times New Roman"/>
      <w:lang w:eastAsia="en-US"/>
    </w:rPr>
  </w:style>
  <w:style w:type="paragraph" w:styleId="af1">
    <w:name w:val="footer"/>
    <w:basedOn w:val="a"/>
    <w:link w:val="af2"/>
    <w:uiPriority w:val="99"/>
    <w:unhideWhenUsed/>
    <w:rsid w:val="000B168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0B168C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0B1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"/>
    <w:basedOn w:val="a"/>
    <w:rsid w:val="000B16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1">
    <w:name w:val="Основной текст Знак1"/>
    <w:rsid w:val="000B168C"/>
    <w:rPr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rsid w:val="000B168C"/>
    <w:rPr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0B168C"/>
    <w:pPr>
      <w:widowControl w:val="0"/>
      <w:shd w:val="clear" w:color="auto" w:fill="FFFFFF"/>
      <w:suppressAutoHyphens/>
      <w:spacing w:before="1140" w:after="0" w:line="264" w:lineRule="exact"/>
      <w:jc w:val="both"/>
      <w:textAlignment w:val="baseline"/>
    </w:pPr>
    <w:rPr>
      <w:rFonts w:ascii="Times New Roman" w:eastAsia="Andale Sans UI" w:hAnsi="Times New Roman" w:cs="Tahoma"/>
      <w:spacing w:val="6"/>
      <w:sz w:val="19"/>
      <w:szCs w:val="19"/>
      <w:lang w:eastAsia="ja-JP" w:bidi="fa-IR"/>
    </w:rPr>
  </w:style>
  <w:style w:type="character" w:customStyle="1" w:styleId="af5">
    <w:name w:val="Основной текст_"/>
    <w:link w:val="12"/>
    <w:rsid w:val="000B168C"/>
    <w:rPr>
      <w:rFonts w:ascii="Times New Roman" w:eastAsia="Andale Sans UI" w:hAnsi="Times New Roman" w:cs="Tahoma"/>
      <w:spacing w:val="6"/>
      <w:sz w:val="19"/>
      <w:szCs w:val="19"/>
      <w:shd w:val="clear" w:color="auto" w:fill="FFFFFF"/>
      <w:lang w:eastAsia="ja-JP" w:bidi="fa-IR"/>
    </w:rPr>
  </w:style>
  <w:style w:type="paragraph" w:customStyle="1" w:styleId="ConsPlusTitle">
    <w:name w:val="ConsPlusTitle"/>
    <w:rsid w:val="000B1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rsid w:val="000B168C"/>
    <w:rPr>
      <w:rFonts w:cs="Times New Roman"/>
    </w:rPr>
  </w:style>
  <w:style w:type="character" w:customStyle="1" w:styleId="4">
    <w:name w:val="Основной текст (4)_"/>
    <w:link w:val="40"/>
    <w:locked/>
    <w:rsid w:val="000B168C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168C"/>
    <w:pPr>
      <w:widowControl w:val="0"/>
      <w:shd w:val="clear" w:color="auto" w:fill="FFFFFF"/>
      <w:spacing w:before="300" w:after="0" w:line="331" w:lineRule="exact"/>
    </w:pPr>
    <w:rPr>
      <w:b/>
      <w:bCs/>
      <w:sz w:val="27"/>
      <w:szCs w:val="27"/>
    </w:rPr>
  </w:style>
  <w:style w:type="character" w:customStyle="1" w:styleId="13pt">
    <w:name w:val="Основной текст + 13 pt"/>
    <w:aliases w:val="Интервал 0 pt,Основной текст + 9 pt,Интервал 0 pt3,Основной текст + 12 pt"/>
    <w:rsid w:val="000B168C"/>
    <w:rPr>
      <w:rFonts w:ascii="Times New Roman" w:hAnsi="Times New Roman" w:cs="Times New Roman" w:hint="default"/>
      <w:strike w:val="0"/>
      <w:dstrike w:val="0"/>
      <w:spacing w:val="-10"/>
      <w:sz w:val="26"/>
      <w:szCs w:val="26"/>
      <w:u w:val="none"/>
      <w:effect w:val="none"/>
    </w:rPr>
  </w:style>
  <w:style w:type="paragraph" w:styleId="af6">
    <w:name w:val="Normal (Web)"/>
    <w:basedOn w:val="a"/>
    <w:uiPriority w:val="99"/>
    <w:unhideWhenUsed/>
    <w:rsid w:val="000B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B16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0B16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0B16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7">
    <w:name w:val="Hyperlink"/>
    <w:uiPriority w:val="99"/>
    <w:unhideWhenUsed/>
    <w:rsid w:val="000B168C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B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0B168C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0B168C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uiPriority w:val="99"/>
    <w:rsid w:val="000B168C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1"/>
      <w:szCs w:val="24"/>
    </w:rPr>
  </w:style>
  <w:style w:type="character" w:customStyle="1" w:styleId="StrongEmphasis">
    <w:name w:val="Strong Emphasis"/>
    <w:uiPriority w:val="99"/>
    <w:rsid w:val="000B168C"/>
    <w:rPr>
      <w:b/>
    </w:rPr>
  </w:style>
  <w:style w:type="paragraph" w:customStyle="1" w:styleId="-85">
    <w:name w:val="Основа П-8.5"/>
    <w:rsid w:val="000B168C"/>
    <w:pPr>
      <w:autoSpaceDE w:val="0"/>
      <w:autoSpaceDN w:val="0"/>
      <w:adjustRightInd w:val="0"/>
      <w:spacing w:after="0" w:line="240" w:lineRule="auto"/>
      <w:ind w:firstLine="128"/>
      <w:jc w:val="both"/>
    </w:pPr>
    <w:rPr>
      <w:rFonts w:ascii="PragmaticaC" w:eastAsia="Calibri" w:hAnsi="PragmaticaC" w:cs="PragmaticaC"/>
      <w:color w:val="000000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0B"/>
  </w:style>
  <w:style w:type="paragraph" w:styleId="2">
    <w:name w:val="heading 2"/>
    <w:basedOn w:val="a"/>
    <w:next w:val="a"/>
    <w:link w:val="20"/>
    <w:qFormat/>
    <w:rsid w:val="000B16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68C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B168C"/>
  </w:style>
  <w:style w:type="paragraph" w:customStyle="1" w:styleId="a3">
    <w:name w:val="Базовый"/>
    <w:rsid w:val="000B168C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sz w:val="24"/>
      <w:szCs w:val="24"/>
      <w:lang w:val="de-DE" w:eastAsia="ja-JP" w:bidi="fa-IR"/>
    </w:rPr>
  </w:style>
  <w:style w:type="paragraph" w:styleId="a4">
    <w:name w:val="No Spacing"/>
    <w:link w:val="a5"/>
    <w:uiPriority w:val="1"/>
    <w:qFormat/>
    <w:rsid w:val="000B16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0B16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B1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B168C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B168C"/>
    <w:rPr>
      <w:rFonts w:ascii="Tahoma" w:eastAsia="Calibri" w:hAnsi="Tahoma" w:cs="Times New Roman"/>
      <w:sz w:val="16"/>
      <w:szCs w:val="20"/>
      <w:lang w:val="x-none" w:eastAsia="en-US"/>
    </w:rPr>
  </w:style>
  <w:style w:type="paragraph" w:styleId="aa">
    <w:name w:val="Body Text"/>
    <w:basedOn w:val="a"/>
    <w:link w:val="ab"/>
    <w:uiPriority w:val="99"/>
    <w:rsid w:val="000B168C"/>
    <w:pPr>
      <w:spacing w:after="0" w:line="240" w:lineRule="auto"/>
      <w:jc w:val="both"/>
    </w:pPr>
    <w:rPr>
      <w:rFonts w:ascii="Calibri" w:eastAsia="Calibri" w:hAnsi="Calibri" w:cs="Times New Roman"/>
      <w:sz w:val="32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168C"/>
    <w:rPr>
      <w:rFonts w:ascii="Calibri" w:eastAsia="Calibri" w:hAnsi="Calibri" w:cs="Times New Roman"/>
      <w:sz w:val="32"/>
      <w:szCs w:val="20"/>
    </w:rPr>
  </w:style>
  <w:style w:type="character" w:customStyle="1" w:styleId="BodyTextChar">
    <w:name w:val="Body Text Char"/>
    <w:uiPriority w:val="99"/>
    <w:semiHidden/>
    <w:rsid w:val="000B168C"/>
    <w:rPr>
      <w:lang w:eastAsia="en-US"/>
    </w:rPr>
  </w:style>
  <w:style w:type="paragraph" w:styleId="ac">
    <w:name w:val="Body Text Indent"/>
    <w:basedOn w:val="a"/>
    <w:link w:val="ad"/>
    <w:uiPriority w:val="99"/>
    <w:rsid w:val="000B168C"/>
    <w:pPr>
      <w:spacing w:after="120"/>
      <w:ind w:left="283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0B168C"/>
    <w:rPr>
      <w:rFonts w:ascii="Calibri" w:eastAsia="Times New Roman" w:hAnsi="Calibri" w:cs="Times New Roman"/>
      <w:szCs w:val="20"/>
      <w:lang w:eastAsia="en-US"/>
    </w:rPr>
  </w:style>
  <w:style w:type="character" w:customStyle="1" w:styleId="BodyTextIndentChar">
    <w:name w:val="Body Text Indent Char"/>
    <w:uiPriority w:val="99"/>
    <w:semiHidden/>
    <w:rsid w:val="000B168C"/>
    <w:rPr>
      <w:lang w:eastAsia="en-US"/>
    </w:rPr>
  </w:style>
  <w:style w:type="paragraph" w:customStyle="1" w:styleId="10">
    <w:name w:val="Абзац списка1"/>
    <w:basedOn w:val="a"/>
    <w:uiPriority w:val="99"/>
    <w:rsid w:val="000B16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0B168C"/>
    <w:rPr>
      <w:rFonts w:ascii="Times New Roman" w:hAnsi="Times New Roman"/>
      <w:sz w:val="26"/>
    </w:rPr>
  </w:style>
  <w:style w:type="paragraph" w:styleId="21">
    <w:name w:val="Body Text 2"/>
    <w:basedOn w:val="a"/>
    <w:link w:val="22"/>
    <w:uiPriority w:val="99"/>
    <w:semiHidden/>
    <w:unhideWhenUsed/>
    <w:rsid w:val="000B168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B168C"/>
    <w:rPr>
      <w:rFonts w:ascii="Calibri" w:eastAsia="Calibri" w:hAnsi="Calibri" w:cs="Times New Roman"/>
      <w:lang w:eastAsia="en-US"/>
    </w:rPr>
  </w:style>
  <w:style w:type="paragraph" w:customStyle="1" w:styleId="ae">
    <w:name w:val="Знак"/>
    <w:basedOn w:val="a"/>
    <w:rsid w:val="000B16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0B168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B168C"/>
    <w:rPr>
      <w:rFonts w:ascii="Calibri" w:eastAsia="Calibri" w:hAnsi="Calibri" w:cs="Times New Roman"/>
      <w:lang w:eastAsia="en-US"/>
    </w:rPr>
  </w:style>
  <w:style w:type="paragraph" w:styleId="af1">
    <w:name w:val="footer"/>
    <w:basedOn w:val="a"/>
    <w:link w:val="af2"/>
    <w:uiPriority w:val="99"/>
    <w:unhideWhenUsed/>
    <w:rsid w:val="000B168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0B168C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0B1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"/>
    <w:basedOn w:val="a"/>
    <w:rsid w:val="000B16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1">
    <w:name w:val="Основной текст Знак1"/>
    <w:rsid w:val="000B168C"/>
    <w:rPr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rsid w:val="000B168C"/>
    <w:rPr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0B168C"/>
    <w:pPr>
      <w:widowControl w:val="0"/>
      <w:shd w:val="clear" w:color="auto" w:fill="FFFFFF"/>
      <w:suppressAutoHyphens/>
      <w:spacing w:before="1140" w:after="0" w:line="264" w:lineRule="exact"/>
      <w:jc w:val="both"/>
      <w:textAlignment w:val="baseline"/>
    </w:pPr>
    <w:rPr>
      <w:rFonts w:ascii="Times New Roman" w:eastAsia="Andale Sans UI" w:hAnsi="Times New Roman" w:cs="Tahoma"/>
      <w:spacing w:val="6"/>
      <w:sz w:val="19"/>
      <w:szCs w:val="19"/>
      <w:lang w:eastAsia="ja-JP" w:bidi="fa-IR"/>
    </w:rPr>
  </w:style>
  <w:style w:type="character" w:customStyle="1" w:styleId="af5">
    <w:name w:val="Основной текст_"/>
    <w:link w:val="12"/>
    <w:rsid w:val="000B168C"/>
    <w:rPr>
      <w:rFonts w:ascii="Times New Roman" w:eastAsia="Andale Sans UI" w:hAnsi="Times New Roman" w:cs="Tahoma"/>
      <w:spacing w:val="6"/>
      <w:sz w:val="19"/>
      <w:szCs w:val="19"/>
      <w:shd w:val="clear" w:color="auto" w:fill="FFFFFF"/>
      <w:lang w:eastAsia="ja-JP" w:bidi="fa-IR"/>
    </w:rPr>
  </w:style>
  <w:style w:type="paragraph" w:customStyle="1" w:styleId="ConsPlusTitle">
    <w:name w:val="ConsPlusTitle"/>
    <w:rsid w:val="000B1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rsid w:val="000B168C"/>
    <w:rPr>
      <w:rFonts w:cs="Times New Roman"/>
    </w:rPr>
  </w:style>
  <w:style w:type="character" w:customStyle="1" w:styleId="4">
    <w:name w:val="Основной текст (4)_"/>
    <w:link w:val="40"/>
    <w:locked/>
    <w:rsid w:val="000B168C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168C"/>
    <w:pPr>
      <w:widowControl w:val="0"/>
      <w:shd w:val="clear" w:color="auto" w:fill="FFFFFF"/>
      <w:spacing w:before="300" w:after="0" w:line="331" w:lineRule="exact"/>
    </w:pPr>
    <w:rPr>
      <w:b/>
      <w:bCs/>
      <w:sz w:val="27"/>
      <w:szCs w:val="27"/>
    </w:rPr>
  </w:style>
  <w:style w:type="character" w:customStyle="1" w:styleId="13pt">
    <w:name w:val="Основной текст + 13 pt"/>
    <w:aliases w:val="Интервал 0 pt,Основной текст + 9 pt,Интервал 0 pt3,Основной текст + 12 pt"/>
    <w:rsid w:val="000B168C"/>
    <w:rPr>
      <w:rFonts w:ascii="Times New Roman" w:hAnsi="Times New Roman" w:cs="Times New Roman" w:hint="default"/>
      <w:strike w:val="0"/>
      <w:dstrike w:val="0"/>
      <w:spacing w:val="-10"/>
      <w:sz w:val="26"/>
      <w:szCs w:val="26"/>
      <w:u w:val="none"/>
      <w:effect w:val="none"/>
    </w:rPr>
  </w:style>
  <w:style w:type="paragraph" w:styleId="af6">
    <w:name w:val="Normal (Web)"/>
    <w:basedOn w:val="a"/>
    <w:uiPriority w:val="99"/>
    <w:unhideWhenUsed/>
    <w:rsid w:val="000B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B16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0B16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0B16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7">
    <w:name w:val="Hyperlink"/>
    <w:uiPriority w:val="99"/>
    <w:unhideWhenUsed/>
    <w:rsid w:val="000B168C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B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0B168C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0B168C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uiPriority w:val="99"/>
    <w:rsid w:val="000B168C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1"/>
      <w:szCs w:val="24"/>
    </w:rPr>
  </w:style>
  <w:style w:type="character" w:customStyle="1" w:styleId="StrongEmphasis">
    <w:name w:val="Strong Emphasis"/>
    <w:uiPriority w:val="99"/>
    <w:rsid w:val="000B168C"/>
    <w:rPr>
      <w:b/>
    </w:rPr>
  </w:style>
  <w:style w:type="paragraph" w:customStyle="1" w:styleId="-85">
    <w:name w:val="Основа П-8.5"/>
    <w:rsid w:val="000B168C"/>
    <w:pPr>
      <w:autoSpaceDE w:val="0"/>
      <w:autoSpaceDN w:val="0"/>
      <w:adjustRightInd w:val="0"/>
      <w:spacing w:after="0" w:line="240" w:lineRule="auto"/>
      <w:ind w:firstLine="128"/>
      <w:jc w:val="both"/>
    </w:pPr>
    <w:rPr>
      <w:rFonts w:ascii="PragmaticaC" w:eastAsia="Calibri" w:hAnsi="PragmaticaC" w:cs="PragmaticaC"/>
      <w:color w:val="000000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9145</Words>
  <Characters>52131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</dc:creator>
  <cp:lastModifiedBy>Admin</cp:lastModifiedBy>
  <cp:revision>2</cp:revision>
  <cp:lastPrinted>2019-03-27T12:27:00Z</cp:lastPrinted>
  <dcterms:created xsi:type="dcterms:W3CDTF">2019-03-27T12:27:00Z</dcterms:created>
  <dcterms:modified xsi:type="dcterms:W3CDTF">2019-03-27T12:27:00Z</dcterms:modified>
</cp:coreProperties>
</file>