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8" w:rsidRDefault="008B4E6D">
      <w:pPr>
        <w:pStyle w:val="Standard"/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178fz04121900033</w:t>
      </w:r>
    </w:p>
    <w:tbl>
      <w:tblPr>
        <w:tblW w:w="10228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054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58" w:rsidRDefault="008B4E6D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Вичуга</w:t>
            </w:r>
          </w:p>
        </w:tc>
        <w:tc>
          <w:tcPr>
            <w:tcW w:w="51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58" w:rsidRDefault="008B4E6D">
            <w:pPr>
              <w:pStyle w:val="Standard"/>
              <w:autoSpaceDE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«04» января 2020г.</w:t>
            </w:r>
          </w:p>
        </w:tc>
      </w:tr>
    </w:tbl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Продавцом является: Комитет по управлению имуществом городского округа Вичуга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по продаже нежилого здание гаража площадью 14,0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кадастровый номер 37:23:020219:26 с земельным участком площадью 35,0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 37:23:010206:321, по  адресу:  Ивановская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ичуга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летарская (далее по тексту – Объект, имущество)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Предметом купли-продажи по настоящему Договору является  нежилое здание гаража площадью 14,0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кадастровый номер 37:23:020219:26 с земельным участком площадью 35,0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37:23:010206:321, по  адресу:  Ивановская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ичуга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Пролетарская.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120 000 RUB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настоящей процедуры были размещены «05» декабря 2019 года на сайте</w:t>
      </w:r>
      <w:r>
        <w:rPr>
          <w:rFonts w:ascii="Times New Roman" w:hAnsi="Times New Roman" w:cs="Times New Roman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 Протокол подведения итогов является документом, удостоверяющим право победителя на заключение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Победителем электронного аукциона 178fz04121900033 признан 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 предложивший наибольшую цену лота в размере 120 000 RUB (сто двадцать тысяч рублей 00 копеек).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</w:t>
      </w:r>
      <w:r>
        <w:rPr>
          <w:rFonts w:ascii="Times New Roman" w:hAnsi="Times New Roman" w:cs="Times New Roman"/>
          <w:sz w:val="24"/>
          <w:szCs w:val="24"/>
        </w:rPr>
        <w:t>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 имущества.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 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</w:t>
      </w:r>
      <w:r>
        <w:rPr>
          <w:rFonts w:ascii="Times New Roman" w:hAnsi="Times New Roman" w:cs="Times New Roman"/>
          <w:sz w:val="24"/>
          <w:szCs w:val="24"/>
        </w:rPr>
        <w:t>том победитель аукциона утрачивает право на заключение указанного договора, а задаток ему не возвращается.</w:t>
      </w:r>
    </w:p>
    <w:p w:rsidR="00405458" w:rsidRDefault="008B4E6D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будет размещен на сайте Единой электронной торговой площадки, по адресу в сети «Интернет»: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5458" w:rsidRDefault="00405458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40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40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Владимирович/</w:t>
            </w:r>
          </w:p>
        </w:tc>
      </w:tr>
      <w:tr w:rsidR="0040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/Калинина Ольга Владимировна/</w:t>
            </w:r>
          </w:p>
        </w:tc>
      </w:tr>
      <w:tr w:rsidR="0040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Николаевна/</w:t>
            </w:r>
          </w:p>
        </w:tc>
      </w:tr>
      <w:tr w:rsidR="0040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458" w:rsidRDefault="008B4E6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/Титова Тамара Васильевна/</w:t>
            </w:r>
          </w:p>
        </w:tc>
      </w:tr>
    </w:tbl>
    <w:p w:rsidR="00405458" w:rsidRDefault="00405458">
      <w:pPr>
        <w:pStyle w:val="Standard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sectPr w:rsidR="00405458">
      <w:pgSz w:w="11907" w:h="16840"/>
      <w:pgMar w:top="1077" w:right="567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6D" w:rsidRDefault="008B4E6D">
      <w:r>
        <w:separator/>
      </w:r>
    </w:p>
  </w:endnote>
  <w:endnote w:type="continuationSeparator" w:id="0">
    <w:p w:rsidR="008B4E6D" w:rsidRDefault="008B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6D" w:rsidRDefault="008B4E6D">
      <w:r>
        <w:rPr>
          <w:color w:val="000000"/>
        </w:rPr>
        <w:separator/>
      </w:r>
    </w:p>
  </w:footnote>
  <w:footnote w:type="continuationSeparator" w:id="0">
    <w:p w:rsidR="008B4E6D" w:rsidRDefault="008B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532"/>
    <w:multiLevelType w:val="multilevel"/>
    <w:tmpl w:val="1C567EF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5458"/>
    <w:rsid w:val="00405458"/>
    <w:rsid w:val="008B4E6D"/>
    <w:rsid w:val="00C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http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#http://178fz.roseltor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2</cp:revision>
  <cp:lastPrinted>2020-01-04T10:23:00Z</cp:lastPrinted>
  <dcterms:created xsi:type="dcterms:W3CDTF">2020-01-05T11:51:00Z</dcterms:created>
  <dcterms:modified xsi:type="dcterms:W3CDTF">2020-01-05T11:51:00Z</dcterms:modified>
</cp:coreProperties>
</file>