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C4" w:rsidRDefault="00AC5DC4" w:rsidP="00AC5DC4">
      <w:pPr>
        <w:jc w:val="right"/>
        <w:rPr>
          <w:caps/>
          <w:color w:val="000000"/>
          <w:sz w:val="20"/>
          <w:szCs w:val="28"/>
        </w:rPr>
      </w:pPr>
      <w:r>
        <w:rPr>
          <w:caps/>
          <w:noProof/>
          <w:color w:val="000000"/>
          <w:sz w:val="2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34925</wp:posOffset>
            </wp:positionV>
            <wp:extent cx="640715" cy="781050"/>
            <wp:effectExtent l="19050" t="0" r="6985" b="0"/>
            <wp:wrapNone/>
            <wp:docPr id="2" name="Рисунок 1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DC4" w:rsidRDefault="00AC5DC4" w:rsidP="00AC5DC4">
      <w:pPr>
        <w:jc w:val="right"/>
        <w:rPr>
          <w:caps/>
          <w:color w:val="000000"/>
          <w:sz w:val="20"/>
          <w:szCs w:val="28"/>
        </w:rPr>
      </w:pPr>
    </w:p>
    <w:p w:rsidR="00AC5DC4" w:rsidRDefault="00AC5DC4" w:rsidP="00AC5DC4">
      <w:pPr>
        <w:jc w:val="right"/>
        <w:rPr>
          <w:caps/>
          <w:color w:val="000000"/>
          <w:sz w:val="20"/>
          <w:szCs w:val="28"/>
        </w:rPr>
      </w:pPr>
    </w:p>
    <w:p w:rsidR="00AC5DC4" w:rsidRPr="00593F9A" w:rsidRDefault="00AC5DC4" w:rsidP="00AC5DC4">
      <w:pPr>
        <w:pStyle w:val="1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593F9A">
        <w:rPr>
          <w:rFonts w:ascii="Times New Roman" w:hAnsi="Times New Roman" w:cs="Times New Roman"/>
          <w:color w:val="auto"/>
          <w:sz w:val="44"/>
          <w:szCs w:val="44"/>
        </w:rPr>
        <w:t>ПОСТАНОВЛЕНИЕ</w:t>
      </w:r>
    </w:p>
    <w:p w:rsidR="00AC5DC4" w:rsidRDefault="00AC5DC4" w:rsidP="00184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58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ВИЧУГА</w:t>
      </w:r>
    </w:p>
    <w:p w:rsidR="00184A58" w:rsidRPr="00184A58" w:rsidRDefault="00184A58" w:rsidP="00184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сентября 2024 г.                                                                                       </w:t>
      </w:r>
      <w:r w:rsidR="00EB3FA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793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AC5DC4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Вичуга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Default="00C2352F" w:rsidP="0018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="00AC5DC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5DC4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 w:rsidR="00AC5DC4">
        <w:rPr>
          <w:rFonts w:ascii="Times New Roman" w:hAnsi="Times New Roman" w:cs="Times New Roman"/>
          <w:sz w:val="28"/>
          <w:szCs w:val="28"/>
        </w:rPr>
        <w:t>18.04.2023г.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</w:t>
      </w:r>
      <w:r w:rsidR="00AC5DC4">
        <w:rPr>
          <w:rFonts w:ascii="Times New Roman" w:hAnsi="Times New Roman" w:cs="Times New Roman"/>
          <w:sz w:val="28"/>
          <w:szCs w:val="28"/>
        </w:rPr>
        <w:t xml:space="preserve"> 349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C5DC4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 городского округа Вичуга»</w:t>
      </w:r>
      <w:r w:rsidR="00184A58">
        <w:rPr>
          <w:rFonts w:ascii="Times New Roman" w:hAnsi="Times New Roman" w:cs="Times New Roman"/>
          <w:sz w:val="28"/>
          <w:szCs w:val="28"/>
        </w:rPr>
        <w:t>,</w:t>
      </w:r>
      <w:r w:rsidR="00AC5DC4">
        <w:rPr>
          <w:rFonts w:ascii="Times New Roman" w:hAnsi="Times New Roman" w:cs="Times New Roman"/>
          <w:sz w:val="28"/>
          <w:szCs w:val="28"/>
        </w:rPr>
        <w:t xml:space="preserve"> ад</w:t>
      </w:r>
      <w:r w:rsidR="00495E59">
        <w:rPr>
          <w:rFonts w:ascii="Times New Roman" w:hAnsi="Times New Roman" w:cs="Times New Roman"/>
          <w:sz w:val="28"/>
          <w:szCs w:val="28"/>
        </w:rPr>
        <w:t>министрация</w:t>
      </w:r>
      <w:r w:rsidR="00AC5DC4">
        <w:rPr>
          <w:rFonts w:ascii="Times New Roman" w:hAnsi="Times New Roman" w:cs="Times New Roman"/>
          <w:sz w:val="28"/>
          <w:szCs w:val="28"/>
        </w:rPr>
        <w:t xml:space="preserve"> городского округа Вичуга 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E407C2" w:rsidRPr="000E46EE" w:rsidRDefault="00E407C2" w:rsidP="0018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AC5DC4">
        <w:rPr>
          <w:rFonts w:ascii="Times New Roman" w:hAnsi="Times New Roman" w:cs="Times New Roman"/>
          <w:sz w:val="28"/>
          <w:szCs w:val="28"/>
        </w:rPr>
        <w:t>городского округа Вичуга от  20.06.2023г</w:t>
      </w:r>
      <w:r w:rsidR="00184A58">
        <w:rPr>
          <w:rFonts w:ascii="Times New Roman" w:hAnsi="Times New Roman" w:cs="Times New Roman"/>
          <w:sz w:val="28"/>
          <w:szCs w:val="28"/>
        </w:rPr>
        <w:t xml:space="preserve"> № </w:t>
      </w:r>
      <w:r w:rsidR="00AC5DC4">
        <w:rPr>
          <w:rFonts w:ascii="Times New Roman" w:hAnsi="Times New Roman" w:cs="Times New Roman"/>
          <w:sz w:val="28"/>
          <w:szCs w:val="28"/>
        </w:rPr>
        <w:t>521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AC5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округа Вичуга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от </w:t>
      </w:r>
      <w:r w:rsidR="00AC5DC4">
        <w:rPr>
          <w:rFonts w:ascii="Times New Roman" w:hAnsi="Times New Roman" w:cs="Times New Roman"/>
          <w:sz w:val="28"/>
          <w:szCs w:val="28"/>
        </w:rPr>
        <w:t>13.07.2023г.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AC5DC4">
        <w:rPr>
          <w:rFonts w:ascii="Times New Roman" w:hAnsi="Times New Roman" w:cs="Times New Roman"/>
          <w:sz w:val="28"/>
          <w:szCs w:val="28"/>
        </w:rPr>
        <w:t>610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184A58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AC5DC4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от </w:t>
      </w:r>
      <w:r w:rsidR="00AC5DC4">
        <w:rPr>
          <w:rFonts w:ascii="Times New Roman" w:hAnsi="Times New Roman" w:cs="Times New Roman"/>
          <w:sz w:val="28"/>
          <w:szCs w:val="28"/>
        </w:rPr>
        <w:t>13.07.2023г</w:t>
      </w:r>
      <w:r w:rsidR="007E4A37">
        <w:rPr>
          <w:rFonts w:ascii="Times New Roman" w:hAnsi="Times New Roman" w:cs="Times New Roman"/>
          <w:sz w:val="28"/>
          <w:szCs w:val="28"/>
        </w:rPr>
        <w:t xml:space="preserve"> № </w:t>
      </w:r>
      <w:r w:rsidR="00AC5DC4">
        <w:rPr>
          <w:rFonts w:ascii="Times New Roman" w:hAnsi="Times New Roman" w:cs="Times New Roman"/>
          <w:sz w:val="28"/>
          <w:szCs w:val="28"/>
        </w:rPr>
        <w:t>609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184A58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от </w:t>
      </w:r>
      <w:r w:rsidR="00DB0D26">
        <w:rPr>
          <w:rFonts w:ascii="Times New Roman" w:hAnsi="Times New Roman" w:cs="Times New Roman"/>
          <w:sz w:val="28"/>
          <w:szCs w:val="28"/>
        </w:rPr>
        <w:t xml:space="preserve"> 14.07.2023г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DB0D26">
        <w:rPr>
          <w:rFonts w:ascii="Times New Roman" w:hAnsi="Times New Roman" w:cs="Times New Roman"/>
          <w:sz w:val="28"/>
          <w:szCs w:val="28"/>
        </w:rPr>
        <w:t>614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</w:t>
      </w:r>
      <w:r w:rsidR="007E4A37" w:rsidRPr="00392DF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общеразвивающих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184A58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4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0343D1" w:rsidRPr="0020509B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953EF5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от </w:t>
      </w:r>
      <w:r w:rsidR="00DB0D26">
        <w:rPr>
          <w:rFonts w:ascii="Times New Roman" w:hAnsi="Times New Roman" w:cs="Times New Roman"/>
          <w:sz w:val="28"/>
          <w:szCs w:val="28"/>
        </w:rPr>
        <w:t>21.07.2023г. № 640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</w:t>
      </w:r>
      <w:r w:rsidR="007E4A37"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bookmarkEnd w:id="0"/>
      <w:r w:rsidR="00184A58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>
        <w:rPr>
          <w:rFonts w:ascii="Times New Roman" w:hAnsi="Times New Roman" w:cs="Times New Roman"/>
          <w:sz w:val="28"/>
          <w:szCs w:val="28"/>
        </w:rPr>
        <w:t>5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:rsidR="007E4A37" w:rsidRPr="00392DF0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DB0D26" w:rsidRDefault="007E4A37" w:rsidP="00DB0D26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2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DB0D26" w:rsidRPr="00DB0D26">
        <w:rPr>
          <w:rFonts w:ascii="Times New Roman" w:hAnsi="Times New Roman" w:cs="Times New Roman"/>
          <w:sz w:val="28"/>
          <w:szCs w:val="28"/>
        </w:rPr>
        <w:t>в Вестнике органов местного самоуправления городского округа Вичуга и разместить на официальном сайте администрации городского округа Вичуга</w:t>
      </w:r>
      <w:r w:rsidR="00DB0D26" w:rsidRPr="00DB0D2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Интернет</w:t>
      </w:r>
      <w:r w:rsidR="00DB0D26" w:rsidRPr="00DB0D26">
        <w:rPr>
          <w:rFonts w:ascii="Times New Roman" w:hAnsi="Times New Roman" w:cs="Times New Roman"/>
          <w:sz w:val="28"/>
          <w:szCs w:val="28"/>
        </w:rPr>
        <w:t>.</w:t>
      </w:r>
    </w:p>
    <w:p w:rsidR="00DB0D26" w:rsidRPr="00DB0D26" w:rsidRDefault="00DB0D26" w:rsidP="00DB0D26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26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городского округа Вичуга Виноградову И.А.</w:t>
      </w:r>
    </w:p>
    <w:p w:rsidR="00DB0D26" w:rsidRPr="00DB0D26" w:rsidRDefault="00DB0D26" w:rsidP="00DB0D26">
      <w:pPr>
        <w:tabs>
          <w:tab w:val="left" w:pos="1276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7E4A37" w:rsidRPr="00184A58" w:rsidRDefault="00AF5556" w:rsidP="00DB0D2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A58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Вичуга                                     </w:t>
      </w:r>
      <w:r w:rsidR="00184A5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84A58">
        <w:rPr>
          <w:rFonts w:ascii="Times New Roman" w:hAnsi="Times New Roman" w:cs="Times New Roman"/>
          <w:b/>
          <w:sz w:val="28"/>
          <w:szCs w:val="28"/>
        </w:rPr>
        <w:t xml:space="preserve"> П.Н. Плохов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Pr="000E46EE" w:rsidRDefault="0020509B" w:rsidP="00184A58">
      <w:pPr>
        <w:pStyle w:val="a3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09B" w:rsidRPr="000E46EE" w:rsidRDefault="0020509B" w:rsidP="00184A5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09B" w:rsidRDefault="0020509B" w:rsidP="00184A5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184A58">
        <w:rPr>
          <w:rFonts w:ascii="Times New Roman" w:hAnsi="Times New Roman" w:cs="Times New Roman"/>
          <w:sz w:val="28"/>
          <w:szCs w:val="28"/>
        </w:rPr>
        <w:t xml:space="preserve"> 16.09.2024 г. № 793</w:t>
      </w: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C7531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20509B" w:rsidRPr="00DB0D26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7309F8">
        <w:rPr>
          <w:rFonts w:ascii="Times New Roman" w:hAnsi="Times New Roman" w:cs="Times New Roman"/>
          <w:b/>
          <w:sz w:val="28"/>
          <w:szCs w:val="28"/>
        </w:rPr>
        <w:t xml:space="preserve">20.06.2023г № </w:t>
      </w:r>
      <w:r w:rsidR="00DB0D26" w:rsidRPr="00DB0D26">
        <w:rPr>
          <w:rFonts w:ascii="Times New Roman" w:hAnsi="Times New Roman" w:cs="Times New Roman"/>
          <w:b/>
          <w:sz w:val="28"/>
          <w:szCs w:val="28"/>
        </w:rPr>
        <w:t>521 «</w:t>
      </w:r>
      <w:r w:rsidR="00DB0D26" w:rsidRPr="00DB0D2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Вичуга, о форме и сроках формирования отчета об их исполнении»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B0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городского округа Вичуга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FE3FDA" w:rsidRPr="00477459" w:rsidRDefault="00FE3FDA" w:rsidP="00FE3FDA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 xml:space="preserve">В абзацах 3 и 7 пункта 13 Порядка </w:t>
      </w:r>
      <w:r w:rsidRPr="00477459">
        <w:rPr>
          <w:rFonts w:ascii="Times New Roman" w:hAnsi="Times New Roman" w:cs="Times New Roman"/>
          <w:sz w:val="28"/>
        </w:rPr>
        <w:t>слово "настоящих Правил" заменить на "настоящим Порядком".</w:t>
      </w:r>
    </w:p>
    <w:p w:rsidR="0020509B" w:rsidRP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hAnsi="Times New Roman" w:cs="Times New Roman"/>
          <w:sz w:val="28"/>
          <w:szCs w:val="28"/>
        </w:rPr>
        <w:t>Форму Муниципального  социального заказа на оказание муниципальных услуг в социальной сфере на 20</w:t>
      </w:r>
      <w:r w:rsidR="00DB0D26">
        <w:rPr>
          <w:rFonts w:ascii="Times New Roman" w:hAnsi="Times New Roman" w:cs="Times New Roman"/>
          <w:sz w:val="28"/>
          <w:szCs w:val="28"/>
        </w:rPr>
        <w:t>24</w:t>
      </w:r>
      <w:r w:rsidRPr="003F7FF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B0D26">
        <w:rPr>
          <w:rFonts w:ascii="Times New Roman" w:hAnsi="Times New Roman" w:cs="Times New Roman"/>
          <w:sz w:val="28"/>
          <w:szCs w:val="28"/>
        </w:rPr>
        <w:t>25</w:t>
      </w:r>
      <w:r w:rsidRPr="003F7FF5">
        <w:rPr>
          <w:rFonts w:ascii="Times New Roman" w:hAnsi="Times New Roman" w:cs="Times New Roman"/>
          <w:sz w:val="28"/>
          <w:szCs w:val="28"/>
        </w:rPr>
        <w:t xml:space="preserve"> - 20</w:t>
      </w:r>
      <w:r w:rsidR="00DB0D26">
        <w:rPr>
          <w:rFonts w:ascii="Times New Roman" w:hAnsi="Times New Roman" w:cs="Times New Roman"/>
          <w:sz w:val="28"/>
          <w:szCs w:val="28"/>
        </w:rPr>
        <w:t>26</w:t>
      </w:r>
      <w:r w:rsidRPr="003F7FF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20509B" w:rsidRPr="00953EF5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DB0D26" w:rsidRPr="00DB0D26">
        <w:rPr>
          <w:rFonts w:ascii="Times New Roman" w:hAnsi="Times New Roman" w:cs="Times New Roman"/>
          <w:iCs/>
          <w:sz w:val="28"/>
          <w:szCs w:val="28"/>
        </w:rPr>
        <w:t>городского округа Вичуга</w:t>
      </w:r>
      <w:r w:rsidRPr="000C7531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184A58">
          <w:pgSz w:w="11906" w:h="16838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:rsidTr="00AC5DC4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20509B" w:rsidRPr="000C7531" w:rsidRDefault="0020509B" w:rsidP="00DB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</w:t>
            </w:r>
            <w:r w:rsidR="000A0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на плановый период 20</w:t>
            </w:r>
            <w:r w:rsidR="000A0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0A0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20509B" w:rsidRPr="000C7531" w:rsidTr="00AC5DC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:rsidTr="00AC5DC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B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</w:t>
            </w:r>
            <w:r w:rsidR="00DB0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20</w:t>
            </w:r>
            <w:r w:rsidR="00DB0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- 20</w:t>
            </w:r>
            <w:r w:rsidR="00DB0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</w:t>
            </w:r>
          </w:p>
        </w:tc>
      </w:tr>
      <w:tr w:rsidR="0020509B" w:rsidRPr="000C7531" w:rsidTr="00AC5DC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:rsidTr="00AC5DC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:rsidTr="00AC5DC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C5DC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C5DC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C5DC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C5DC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AC5DC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:rsidTr="00AC5DC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:rsidTr="007309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309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7309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7309F8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:rsidTr="007309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309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7309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7309F8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AC5DC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:rsidTr="007309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309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7309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7309F8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:rsidTr="007309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309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7309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7309F8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C5DC4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127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пальную услугу), %</w:t>
            </w:r>
          </w:p>
        </w:tc>
      </w:tr>
      <w:tr w:rsidR="0020509B" w:rsidRPr="000C7531" w:rsidTr="00AC5DC4">
        <w:trPr>
          <w:trHeight w:val="555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C5DC4">
        <w:trPr>
          <w:trHeight w:val="2550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AC5DC4">
        <w:trPr>
          <w:trHeight w:val="675"/>
        </w:trPr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705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30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7309F8" w:rsidRDefault="007309F8" w:rsidP="0020509B">
      <w:pPr>
        <w:rPr>
          <w:rFonts w:ascii="Times New Roman" w:hAnsi="Times New Roman" w:cs="Times New Roman"/>
        </w:rPr>
      </w:pPr>
    </w:p>
    <w:p w:rsidR="007309F8" w:rsidRPr="000C7531" w:rsidRDefault="007309F8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C5DC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:rsidTr="00AC5DC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FC6E85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20509B" w:rsidRPr="000C7531" w:rsidTr="00FC6E85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FC6E85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FC6E85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FC6E85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C5DC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:rsidTr="007309F8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7309F8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7309F8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7309F8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852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7309F8" w:rsidRDefault="007309F8" w:rsidP="0020509B">
      <w:pPr>
        <w:rPr>
          <w:rFonts w:ascii="Times New Roman" w:hAnsi="Times New Roman" w:cs="Times New Roman"/>
        </w:rPr>
      </w:pPr>
    </w:p>
    <w:p w:rsidR="007309F8" w:rsidRDefault="007309F8" w:rsidP="0020509B">
      <w:pPr>
        <w:rPr>
          <w:rFonts w:ascii="Times New Roman" w:hAnsi="Times New Roman" w:cs="Times New Roman"/>
        </w:rPr>
      </w:pPr>
    </w:p>
    <w:p w:rsidR="007309F8" w:rsidRDefault="007309F8" w:rsidP="0020509B">
      <w:pPr>
        <w:rPr>
          <w:rFonts w:ascii="Times New Roman" w:hAnsi="Times New Roman" w:cs="Times New Roman"/>
        </w:rPr>
      </w:pPr>
    </w:p>
    <w:p w:rsidR="007309F8" w:rsidRDefault="007309F8" w:rsidP="0020509B">
      <w:pPr>
        <w:rPr>
          <w:rFonts w:ascii="Times New Roman" w:hAnsi="Times New Roman" w:cs="Times New Roman"/>
        </w:rPr>
      </w:pPr>
    </w:p>
    <w:p w:rsidR="007309F8" w:rsidRPr="000C7531" w:rsidRDefault="007309F8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C5DC4">
        <w:trPr>
          <w:trHeight w:val="870"/>
        </w:trPr>
        <w:tc>
          <w:tcPr>
            <w:tcW w:w="312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:rsidTr="00AC5DC4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AC5DC4">
        <w:trPr>
          <w:trHeight w:val="630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C5DC4">
        <w:trPr>
          <w:trHeight w:val="3060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C5DC4">
        <w:trPr>
          <w:trHeight w:val="405"/>
        </w:trPr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630"/>
        </w:trPr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FC6E85" w:rsidRDefault="00FC6E85" w:rsidP="0020509B">
      <w:pPr>
        <w:rPr>
          <w:rFonts w:ascii="Times New Roman" w:hAnsi="Times New Roman" w:cs="Times New Roman"/>
        </w:rPr>
      </w:pPr>
    </w:p>
    <w:p w:rsidR="00FC6E85" w:rsidRDefault="00FC6E85" w:rsidP="0020509B">
      <w:pPr>
        <w:rPr>
          <w:rFonts w:ascii="Times New Roman" w:hAnsi="Times New Roman" w:cs="Times New Roman"/>
        </w:rPr>
      </w:pPr>
    </w:p>
    <w:p w:rsidR="00FC6E85" w:rsidRDefault="00FC6E85" w:rsidP="0020509B">
      <w:pPr>
        <w:rPr>
          <w:rFonts w:ascii="Times New Roman" w:hAnsi="Times New Roman" w:cs="Times New Roman"/>
        </w:rPr>
      </w:pPr>
    </w:p>
    <w:p w:rsidR="00FC6E85" w:rsidRPr="000C7531" w:rsidRDefault="00FC6E8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0C7531" w:rsidTr="00AC5DC4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:rsidTr="00AC5DC4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:rsidTr="00AC5DC4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C5DC4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C5DC4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:rsidTr="00AC5DC4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20509B" w:rsidRPr="000C7531" w:rsidTr="00AC5DC4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:rsidTr="00AC5DC4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E85" w:rsidRDefault="00FC6E8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:rsidTr="00AC5DC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:rsidTr="00AC5DC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B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</w:t>
            </w:r>
            <w:r w:rsidR="00DB0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плановый период 20</w:t>
            </w:r>
            <w:r w:rsidR="00DB0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B0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</w:t>
            </w:r>
            <w:r w:rsidR="00DB0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26 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</w:t>
            </w:r>
          </w:p>
        </w:tc>
      </w:tr>
      <w:tr w:rsidR="0020509B" w:rsidRPr="000C7531" w:rsidTr="00AC5DC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7"/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7309F8" w:rsidRPr="000C7531" w:rsidTr="007309F8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9F8" w:rsidRPr="000C7531" w:rsidTr="007309F8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7309F8" w:rsidRPr="000C7531" w:rsidTr="007309F8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9F8" w:rsidRPr="000C7531" w:rsidTr="007309F8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9F8" w:rsidRPr="000C7531" w:rsidTr="007309F8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F8" w:rsidRPr="000C7531" w:rsidRDefault="007309F8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:rsidTr="007309F8">
        <w:trPr>
          <w:gridAfter w:val="1"/>
          <w:wAfter w:w="75" w:type="pct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7309F8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775"/>
        <w:tblW w:w="5000" w:type="pct"/>
        <w:tblLook w:val="04A0"/>
      </w:tblPr>
      <w:tblGrid>
        <w:gridCol w:w="1025"/>
        <w:gridCol w:w="454"/>
        <w:gridCol w:w="658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20509B" w:rsidRPr="000C7531" w:rsidTr="007309F8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:rsidTr="007309F8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B3FAC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:rsidTr="007309F8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7309F8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7309F8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7309F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73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0509B" w:rsidRPr="000C7531" w:rsidTr="00AC5DC4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:rsidTr="00AC5DC4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B3FAC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:rsidTr="00AC5DC4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EB3FAC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C5DC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C5DC4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7309F8" w:rsidRDefault="007309F8" w:rsidP="0020509B">
      <w:pPr>
        <w:rPr>
          <w:rFonts w:ascii="Times New Roman" w:hAnsi="Times New Roman" w:cs="Times New Roman"/>
        </w:rPr>
      </w:pPr>
    </w:p>
    <w:p w:rsidR="007309F8" w:rsidRDefault="007309F8" w:rsidP="0020509B">
      <w:pPr>
        <w:rPr>
          <w:rFonts w:ascii="Times New Roman" w:hAnsi="Times New Roman" w:cs="Times New Roman"/>
        </w:rPr>
      </w:pPr>
    </w:p>
    <w:p w:rsidR="007309F8" w:rsidRPr="000C7531" w:rsidRDefault="007309F8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7"/>
        <w:gridCol w:w="729"/>
        <w:gridCol w:w="393"/>
        <w:gridCol w:w="950"/>
        <w:gridCol w:w="499"/>
        <w:gridCol w:w="624"/>
        <w:gridCol w:w="624"/>
        <w:gridCol w:w="332"/>
        <w:gridCol w:w="1037"/>
        <w:gridCol w:w="259"/>
        <w:gridCol w:w="586"/>
        <w:gridCol w:w="451"/>
        <w:gridCol w:w="1038"/>
        <w:gridCol w:w="321"/>
        <w:gridCol w:w="802"/>
        <w:gridCol w:w="689"/>
        <w:gridCol w:w="434"/>
        <w:gridCol w:w="773"/>
        <w:gridCol w:w="262"/>
        <w:gridCol w:w="951"/>
        <w:gridCol w:w="412"/>
        <w:gridCol w:w="561"/>
        <w:gridCol w:w="1192"/>
      </w:tblGrid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1188"/>
        </w:trPr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:rsidTr="000A0BB8">
        <w:trPr>
          <w:trHeight w:val="1320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1392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AC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:rsidTr="000A0BB8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B3FAC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EB3FAC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0A0BB8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:rsidTr="00AC5DC4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EB3FAC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:rsidTr="00AC5DC4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C5DC4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480115" w:rsidRDefault="0020509B" w:rsidP="0020509B">
      <w:pPr>
        <w:rPr>
          <w:rFonts w:ascii="Times New Roman" w:hAnsi="Times New Roman" w:cs="Times New Roman"/>
        </w:rPr>
      </w:pPr>
    </w:p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D918AA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</w:p>
    <w:p w:rsidR="0020554D" w:rsidRDefault="007309F8" w:rsidP="007309F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09F8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7309F8" w:rsidRPr="007309F8" w:rsidRDefault="007309F8" w:rsidP="007309F8">
      <w:pPr>
        <w:spacing w:after="0" w:line="24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Вичуга от 16.09.2024 г. № 793</w:t>
      </w: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bookmarkStart w:id="2" w:name="_Hlk109039373"/>
    </w:p>
    <w:bookmarkEnd w:id="2"/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DB0D26">
        <w:rPr>
          <w:rFonts w:ascii="Times New Roman" w:hAnsi="Times New Roman" w:cs="Times New Roman"/>
          <w:b/>
          <w:bCs/>
          <w:sz w:val="28"/>
          <w:szCs w:val="28"/>
        </w:rPr>
        <w:t xml:space="preserve"> 13.07.2023г.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B0D26">
        <w:rPr>
          <w:rFonts w:ascii="Times New Roman" w:hAnsi="Times New Roman" w:cs="Times New Roman"/>
          <w:b/>
          <w:bCs/>
          <w:sz w:val="28"/>
          <w:szCs w:val="28"/>
        </w:rPr>
        <w:t>610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B0D26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B0D26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E46EE" w:rsidRDefault="000E46EE" w:rsidP="007309F8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</w:p>
    <w:p w:rsidR="007309F8" w:rsidRDefault="007309F8" w:rsidP="007309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9F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309F8" w:rsidRPr="007309F8" w:rsidRDefault="007309F8" w:rsidP="007309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Вичуга от 16.09.2024 г. № 793</w:t>
      </w:r>
    </w:p>
    <w:p w:rsidR="007309F8" w:rsidRPr="007309F8" w:rsidRDefault="007309F8" w:rsidP="00730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9F8" w:rsidRDefault="007309F8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DB0D26">
        <w:rPr>
          <w:rFonts w:ascii="Times New Roman" w:hAnsi="Times New Roman" w:cs="Times New Roman"/>
          <w:b/>
          <w:bCs/>
          <w:sz w:val="28"/>
          <w:szCs w:val="28"/>
        </w:rPr>
        <w:t xml:space="preserve"> 13.07.2023г.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B0D26">
        <w:rPr>
          <w:rFonts w:ascii="Times New Roman" w:hAnsi="Times New Roman" w:cs="Times New Roman"/>
          <w:b/>
          <w:bCs/>
          <w:sz w:val="28"/>
          <w:szCs w:val="28"/>
        </w:rPr>
        <w:t>609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сертификатом»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A0B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B0D26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A0B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B0D26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18" w:rsidRDefault="007C4518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7C4518" w:rsidRDefault="003E191E" w:rsidP="007C4518">
      <w:pPr>
        <w:jc w:val="right"/>
        <w:rPr>
          <w:rFonts w:ascii="Times New Roman" w:hAnsi="Times New Roman" w:cs="Times New Roman"/>
          <w:sz w:val="28"/>
          <w:szCs w:val="28"/>
        </w:rPr>
      </w:pPr>
      <w:r w:rsidRPr="007C45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457F" w:rsidRPr="007C4518">
        <w:rPr>
          <w:rFonts w:ascii="Times New Roman" w:hAnsi="Times New Roman" w:cs="Times New Roman"/>
          <w:sz w:val="28"/>
          <w:szCs w:val="28"/>
        </w:rPr>
        <w:t>4</w:t>
      </w:r>
    </w:p>
    <w:p w:rsidR="007C4518" w:rsidRDefault="003E191E" w:rsidP="007C4518">
      <w:pPr>
        <w:jc w:val="right"/>
        <w:rPr>
          <w:rFonts w:ascii="Times New Roman" w:hAnsi="Times New Roman" w:cs="Times New Roman"/>
          <w:sz w:val="28"/>
          <w:szCs w:val="28"/>
        </w:rPr>
      </w:pPr>
      <w:r w:rsidRPr="007C451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E191E" w:rsidRPr="007C4518" w:rsidRDefault="007C4518" w:rsidP="007C4518">
      <w:pPr>
        <w:jc w:val="right"/>
        <w:rPr>
          <w:rFonts w:ascii="Times New Roman" w:hAnsi="Times New Roman" w:cs="Times New Roman"/>
          <w:sz w:val="28"/>
          <w:szCs w:val="28"/>
        </w:rPr>
      </w:pPr>
      <w:r w:rsidRPr="007C4518">
        <w:rPr>
          <w:rFonts w:ascii="Times New Roman" w:hAnsi="Times New Roman" w:cs="Times New Roman"/>
          <w:sz w:val="28"/>
          <w:szCs w:val="28"/>
        </w:rPr>
        <w:t>городского округа Вичуга от 16.09.2024 г. № 793</w:t>
      </w: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DB0D26">
        <w:rPr>
          <w:rFonts w:ascii="Times New Roman" w:hAnsi="Times New Roman" w:cs="Times New Roman"/>
          <w:b/>
          <w:bCs/>
          <w:sz w:val="28"/>
          <w:szCs w:val="28"/>
        </w:rPr>
        <w:t>14.07.2023г.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B0D26">
        <w:rPr>
          <w:rFonts w:ascii="Times New Roman" w:hAnsi="Times New Roman" w:cs="Times New Roman"/>
          <w:b/>
          <w:bCs/>
          <w:sz w:val="28"/>
          <w:szCs w:val="28"/>
        </w:rPr>
        <w:t>614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DB0D26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</w:p>
    <w:p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="00DB0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муниципальное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</w:p>
    <w:p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)а</w:t>
      </w:r>
      <w:r w:rsidR="00583D37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)п</w:t>
      </w:r>
      <w:r w:rsidR="000F2673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3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3"/>
      <w:r>
        <w:rPr>
          <w:rFonts w:ascii="Times New Roman" w:hAnsi="Times New Roman" w:cs="Times New Roman"/>
          <w:sz w:val="28"/>
          <w:szCs w:val="28"/>
        </w:rPr>
        <w:t>».</w:t>
      </w:r>
    </w:p>
    <w:p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от 13.07.2020 № 189-ФЗ «О государственном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:rsidR="002559CD" w:rsidRPr="000E46EE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6B18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457F">
        <w:rPr>
          <w:rFonts w:ascii="Times New Roman" w:hAnsi="Times New Roman" w:cs="Times New Roman"/>
          <w:sz w:val="28"/>
          <w:szCs w:val="28"/>
        </w:rPr>
        <w:t>5</w:t>
      </w:r>
    </w:p>
    <w:p w:rsidR="003E191E" w:rsidRDefault="0052504B" w:rsidP="0052504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504B" w:rsidRDefault="0052504B" w:rsidP="0052504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Вичуга от 16.09.2024 г. № 793</w:t>
      </w:r>
    </w:p>
    <w:p w:rsidR="0052504B" w:rsidRDefault="0052504B" w:rsidP="0052504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04B" w:rsidRPr="000E46EE" w:rsidRDefault="0052504B" w:rsidP="0052504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E23986">
        <w:rPr>
          <w:rFonts w:ascii="Times New Roman" w:hAnsi="Times New Roman" w:cs="Times New Roman"/>
          <w:b/>
          <w:bCs/>
          <w:sz w:val="28"/>
          <w:szCs w:val="28"/>
        </w:rPr>
        <w:t>21.07.2023г.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E23986">
        <w:rPr>
          <w:rFonts w:ascii="Times New Roman" w:hAnsi="Times New Roman" w:cs="Times New Roman"/>
          <w:b/>
          <w:bCs/>
          <w:sz w:val="28"/>
          <w:szCs w:val="28"/>
        </w:rPr>
        <w:t xml:space="preserve"> 640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EB3FAC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E23986">
        <w:rPr>
          <w:rFonts w:ascii="Times New Roman" w:hAnsi="Times New Roman" w:cs="Times New Roman"/>
          <w:sz w:val="28"/>
          <w:szCs w:val="28"/>
          <w:u w:val="single"/>
        </w:rPr>
        <w:t>городским округом Вичуга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E23986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E23986">
        <w:rPr>
          <w:rFonts w:ascii="Times New Roman" w:hAnsi="Times New Roman" w:cs="Times New Roman"/>
          <w:sz w:val="28"/>
          <w:szCs w:val="28"/>
        </w:rPr>
        <w:t xml:space="preserve"> и</w:t>
      </w:r>
      <w:r w:rsidRPr="003F7FF5">
        <w:rPr>
          <w:rFonts w:ascii="Times New Roman" w:hAnsi="Times New Roman" w:cs="Times New Roman"/>
          <w:sz w:val="28"/>
          <w:szCs w:val="28"/>
        </w:rPr>
        <w:t xml:space="preserve">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="00E23986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детей </w:t>
      </w:r>
      <w:r w:rsidR="00E23986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B3FAC" w:rsidRPr="00A02C5B">
        <w:rPr>
          <w:rFonts w:ascii="Times New Roman" w:hAnsi="Times New Roman" w:cs="Times New Roman"/>
          <w:sz w:val="28"/>
          <w:szCs w:val="28"/>
        </w:rPr>
        <w:t>сертификатом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:rsidR="005402FD" w:rsidRDefault="00FA7BD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B18">
        <w:rPr>
          <w:rFonts w:ascii="Times New Roman" w:hAnsi="Times New Roman" w:cs="Times New Roman"/>
          <w:sz w:val="28"/>
          <w:szCs w:val="28"/>
        </w:rPr>
        <w:t xml:space="preserve">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FA7BDD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FA7BD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A7BDD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FA7BDD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</w:t>
      </w:r>
      <w:r w:rsidR="00EB3FAC" w:rsidRPr="005402FD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</w:t>
      </w:r>
      <w:r w:rsidR="00EB3FAC">
        <w:rPr>
          <w:rFonts w:ascii="Times New Roman" w:hAnsi="Times New Roman" w:cs="Times New Roman"/>
          <w:sz w:val="28"/>
          <w:szCs w:val="28"/>
        </w:rPr>
        <w:t xml:space="preserve"> </w:t>
      </w:r>
      <w:r w:rsidR="00EB3FAC" w:rsidRPr="005402FD">
        <w:rPr>
          <w:rFonts w:ascii="Times New Roman" w:hAnsi="Times New Roman" w:cs="Times New Roman"/>
          <w:sz w:val="28"/>
          <w:szCs w:val="28"/>
        </w:rPr>
        <w:t xml:space="preserve"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</w:t>
      </w:r>
      <w:r w:rsidRPr="005402FD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FA7BDD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402FD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FA7BDD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02" w:rsidRDefault="00DA6A02" w:rsidP="00C2352F">
      <w:pPr>
        <w:spacing w:after="0" w:line="240" w:lineRule="auto"/>
      </w:pPr>
      <w:r>
        <w:separator/>
      </w:r>
    </w:p>
  </w:endnote>
  <w:endnote w:type="continuationSeparator" w:id="0">
    <w:p w:rsidR="00DA6A02" w:rsidRDefault="00DA6A0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58" w:rsidRPr="00104A38" w:rsidRDefault="00184A58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02" w:rsidRDefault="00DA6A02" w:rsidP="00C2352F">
      <w:pPr>
        <w:spacing w:after="0" w:line="240" w:lineRule="auto"/>
      </w:pPr>
      <w:r>
        <w:separator/>
      </w:r>
    </w:p>
  </w:footnote>
  <w:footnote w:type="continuationSeparator" w:id="0">
    <w:p w:rsidR="00DA6A02" w:rsidRDefault="00DA6A0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58" w:rsidRDefault="00184A5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0BB8"/>
    <w:rsid w:val="000B6C7E"/>
    <w:rsid w:val="000C07E4"/>
    <w:rsid w:val="000C7531"/>
    <w:rsid w:val="000D439D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4A58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097A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504B"/>
    <w:rsid w:val="005278BF"/>
    <w:rsid w:val="005319F2"/>
    <w:rsid w:val="00536888"/>
    <w:rsid w:val="005402FD"/>
    <w:rsid w:val="00543F50"/>
    <w:rsid w:val="0054672A"/>
    <w:rsid w:val="005634B4"/>
    <w:rsid w:val="005721FB"/>
    <w:rsid w:val="00583D37"/>
    <w:rsid w:val="00586EB5"/>
    <w:rsid w:val="005D0E01"/>
    <w:rsid w:val="005F5857"/>
    <w:rsid w:val="00611D38"/>
    <w:rsid w:val="00626607"/>
    <w:rsid w:val="00627CEE"/>
    <w:rsid w:val="00636CEF"/>
    <w:rsid w:val="0064037A"/>
    <w:rsid w:val="00641BD3"/>
    <w:rsid w:val="0064335D"/>
    <w:rsid w:val="006577E0"/>
    <w:rsid w:val="0066032C"/>
    <w:rsid w:val="00666ECA"/>
    <w:rsid w:val="006A36F2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09F8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4518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53EF5"/>
    <w:rsid w:val="00977534"/>
    <w:rsid w:val="009846E7"/>
    <w:rsid w:val="0099333E"/>
    <w:rsid w:val="0099360D"/>
    <w:rsid w:val="009958D8"/>
    <w:rsid w:val="009A1DD6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5DC4"/>
    <w:rsid w:val="00AC60DB"/>
    <w:rsid w:val="00AD267A"/>
    <w:rsid w:val="00AE51B6"/>
    <w:rsid w:val="00AF05FE"/>
    <w:rsid w:val="00AF22D1"/>
    <w:rsid w:val="00AF32A8"/>
    <w:rsid w:val="00AF4460"/>
    <w:rsid w:val="00AF5556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7144"/>
    <w:rsid w:val="00C73DFB"/>
    <w:rsid w:val="00C77D16"/>
    <w:rsid w:val="00C8193F"/>
    <w:rsid w:val="00C82AA1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A6A02"/>
    <w:rsid w:val="00DB0D26"/>
    <w:rsid w:val="00DD03F8"/>
    <w:rsid w:val="00DE46F7"/>
    <w:rsid w:val="00DE63F1"/>
    <w:rsid w:val="00DE6C5B"/>
    <w:rsid w:val="00DF7CE8"/>
    <w:rsid w:val="00E22CF2"/>
    <w:rsid w:val="00E23986"/>
    <w:rsid w:val="00E36A28"/>
    <w:rsid w:val="00E403F2"/>
    <w:rsid w:val="00E407C2"/>
    <w:rsid w:val="00E54DD3"/>
    <w:rsid w:val="00E8399C"/>
    <w:rsid w:val="00E96533"/>
    <w:rsid w:val="00E975FF"/>
    <w:rsid w:val="00EA15CC"/>
    <w:rsid w:val="00EB3FA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262C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A7BDD"/>
    <w:rsid w:val="00FB0AD1"/>
    <w:rsid w:val="00FC68D7"/>
    <w:rsid w:val="00FC6E85"/>
    <w:rsid w:val="00FC7403"/>
    <w:rsid w:val="00FE2BEF"/>
    <w:rsid w:val="00FE3FDA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AC5D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AC5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37D8-78AA-49B2-9B64-6DF4A768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36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Рита</cp:lastModifiedBy>
  <cp:revision>6</cp:revision>
  <cp:lastPrinted>2024-09-18T04:38:00Z</cp:lastPrinted>
  <dcterms:created xsi:type="dcterms:W3CDTF">2024-09-16T07:55:00Z</dcterms:created>
  <dcterms:modified xsi:type="dcterms:W3CDTF">2024-09-18T04:40:00Z</dcterms:modified>
</cp:coreProperties>
</file>